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4EF" w:rsidRPr="00991F20" w:rsidRDefault="000934EF" w:rsidP="00AB6935">
      <w:pPr>
        <w:pStyle w:val="Titolo2"/>
        <w:spacing w:line="276" w:lineRule="auto"/>
        <w:jc w:val="center"/>
        <w:rPr>
          <w:sz w:val="22"/>
          <w:szCs w:val="22"/>
        </w:rPr>
      </w:pPr>
      <w:r w:rsidRPr="00991F20">
        <w:rPr>
          <w:sz w:val="22"/>
          <w:szCs w:val="22"/>
        </w:rPr>
        <w:t xml:space="preserve">La tutela giuridica del mercato dei crediti </w:t>
      </w:r>
      <w:r w:rsidR="006A6E59" w:rsidRPr="00991F20">
        <w:rPr>
          <w:sz w:val="22"/>
          <w:szCs w:val="22"/>
        </w:rPr>
        <w:t>a sofferenza e deteriorati</w:t>
      </w:r>
    </w:p>
    <w:p w:rsidR="00991F20" w:rsidRPr="00991F20" w:rsidRDefault="00991F20" w:rsidP="00AB6935">
      <w:pPr>
        <w:pStyle w:val="Titolo2"/>
        <w:spacing w:line="276" w:lineRule="auto"/>
        <w:jc w:val="center"/>
        <w:rPr>
          <w:b w:val="0"/>
          <w:iCs/>
          <w:sz w:val="22"/>
          <w:szCs w:val="22"/>
        </w:rPr>
      </w:pPr>
      <w:r>
        <w:rPr>
          <w:b w:val="0"/>
          <w:i/>
          <w:sz w:val="22"/>
          <w:szCs w:val="22"/>
        </w:rPr>
        <w:t>Riflessioni su NPL e regole sistemiche</w:t>
      </w:r>
      <w:r w:rsidRPr="00991F20">
        <w:rPr>
          <w:rStyle w:val="Rimandonotaapidipagina"/>
          <w:b w:val="0"/>
          <w:i/>
          <w:sz w:val="22"/>
          <w:szCs w:val="22"/>
        </w:rPr>
        <w:footnoteReference w:customMarkFollows="1" w:id="1"/>
        <w:sym w:font="Symbol" w:char="F02A"/>
      </w:r>
    </w:p>
    <w:p w:rsidR="00FF2108" w:rsidRPr="00AB6935" w:rsidRDefault="00AB6935" w:rsidP="00991F20">
      <w:pPr>
        <w:pStyle w:val="Titolo2"/>
        <w:spacing w:line="276" w:lineRule="auto"/>
        <w:jc w:val="right"/>
        <w:rPr>
          <w:b w:val="0"/>
          <w:bCs w:val="0"/>
          <w:sz w:val="22"/>
          <w:szCs w:val="22"/>
        </w:rPr>
      </w:pPr>
      <w:r>
        <w:rPr>
          <w:b w:val="0"/>
          <w:bCs w:val="0"/>
          <w:sz w:val="22"/>
          <w:szCs w:val="22"/>
        </w:rPr>
        <w:t xml:space="preserve">di </w:t>
      </w:r>
      <w:r w:rsidR="000934EF" w:rsidRPr="00AB6935">
        <w:rPr>
          <w:b w:val="0"/>
          <w:bCs w:val="0"/>
          <w:sz w:val="22"/>
          <w:szCs w:val="22"/>
        </w:rPr>
        <w:t>Cosimo D</w:t>
      </w:r>
      <w:r w:rsidR="00501E32">
        <w:rPr>
          <w:b w:val="0"/>
          <w:bCs w:val="0"/>
          <w:sz w:val="22"/>
          <w:szCs w:val="22"/>
        </w:rPr>
        <w:t>’</w:t>
      </w:r>
      <w:r w:rsidR="000934EF" w:rsidRPr="00AB6935">
        <w:rPr>
          <w:b w:val="0"/>
          <w:bCs w:val="0"/>
          <w:sz w:val="22"/>
          <w:szCs w:val="22"/>
        </w:rPr>
        <w:t>Arrigo</w:t>
      </w:r>
      <w:r w:rsidR="00991F20">
        <w:rPr>
          <w:b w:val="0"/>
          <w:bCs w:val="0"/>
          <w:sz w:val="22"/>
          <w:szCs w:val="22"/>
        </w:rPr>
        <w:t>, consigliere della Corte di cassazione</w:t>
      </w:r>
    </w:p>
    <w:p w:rsidR="00AB6935" w:rsidRDefault="00AB6935" w:rsidP="00AB6935">
      <w:pPr>
        <w:pStyle w:val="Titolo2"/>
        <w:spacing w:before="0" w:beforeAutospacing="0" w:after="0" w:afterAutospacing="0"/>
        <w:rPr>
          <w:sz w:val="22"/>
          <w:szCs w:val="22"/>
        </w:rPr>
      </w:pPr>
    </w:p>
    <w:p w:rsidR="00991F20" w:rsidRPr="00E320C1" w:rsidRDefault="00991F20" w:rsidP="00AB6935">
      <w:pPr>
        <w:pStyle w:val="Titolo2"/>
        <w:spacing w:before="0" w:beforeAutospacing="0" w:after="0" w:afterAutospacing="0"/>
        <w:rPr>
          <w:sz w:val="22"/>
          <w:szCs w:val="22"/>
        </w:rPr>
      </w:pPr>
    </w:p>
    <w:p w:rsidR="00776905" w:rsidRDefault="00AB6935" w:rsidP="00B106E0">
      <w:pPr>
        <w:pStyle w:val="Titolo2"/>
        <w:spacing w:before="0" w:beforeAutospacing="0" w:after="0" w:afterAutospacing="0" w:line="360" w:lineRule="auto"/>
        <w:jc w:val="both"/>
        <w:rPr>
          <w:b w:val="0"/>
          <w:bCs w:val="0"/>
          <w:sz w:val="20"/>
          <w:szCs w:val="20"/>
        </w:rPr>
      </w:pPr>
      <w:r w:rsidRPr="00102443">
        <w:rPr>
          <w:b w:val="0"/>
          <w:bCs w:val="0"/>
          <w:smallCaps/>
          <w:sz w:val="20"/>
          <w:szCs w:val="20"/>
        </w:rPr>
        <w:t>Sommario:</w:t>
      </w:r>
      <w:r>
        <w:rPr>
          <w:b w:val="0"/>
          <w:bCs w:val="0"/>
          <w:smallCaps/>
          <w:sz w:val="20"/>
          <w:szCs w:val="20"/>
        </w:rPr>
        <w:t xml:space="preserve"> </w:t>
      </w:r>
      <w:r w:rsidRPr="00102443">
        <w:rPr>
          <w:b w:val="0"/>
          <w:bCs w:val="0"/>
          <w:smallCaps/>
          <w:sz w:val="20"/>
          <w:szCs w:val="20"/>
        </w:rPr>
        <w:t>1</w:t>
      </w:r>
      <w:r w:rsidRPr="00B6214B">
        <w:rPr>
          <w:b w:val="0"/>
          <w:bCs w:val="0"/>
          <w:smallCaps/>
          <w:sz w:val="20"/>
          <w:szCs w:val="20"/>
        </w:rPr>
        <w:t xml:space="preserve">. </w:t>
      </w:r>
      <w:r w:rsidR="00B6214B" w:rsidRPr="00B6214B">
        <w:rPr>
          <w:b w:val="0"/>
          <w:bCs w:val="0"/>
          <w:sz w:val="20"/>
          <w:szCs w:val="20"/>
        </w:rPr>
        <w:t xml:space="preserve">Il mercato dei crediti </w:t>
      </w:r>
      <w:r w:rsidR="00B6214B" w:rsidRPr="00B6214B">
        <w:rPr>
          <w:b w:val="0"/>
          <w:bCs w:val="0"/>
          <w:i/>
          <w:iCs/>
          <w:sz w:val="20"/>
          <w:szCs w:val="20"/>
        </w:rPr>
        <w:t xml:space="preserve">non </w:t>
      </w:r>
      <w:proofErr w:type="spellStart"/>
      <w:r w:rsidR="00B6214B" w:rsidRPr="00B6214B">
        <w:rPr>
          <w:b w:val="0"/>
          <w:bCs w:val="0"/>
          <w:i/>
          <w:iCs/>
          <w:sz w:val="20"/>
          <w:szCs w:val="20"/>
        </w:rPr>
        <w:t>performing</w:t>
      </w:r>
      <w:proofErr w:type="spellEnd"/>
      <w:r w:rsidR="00B6214B" w:rsidRPr="00B6214B">
        <w:rPr>
          <w:b w:val="0"/>
          <w:bCs w:val="0"/>
          <w:sz w:val="20"/>
          <w:szCs w:val="20"/>
        </w:rPr>
        <w:t xml:space="preserve">: analisi economica del fenomeno </w:t>
      </w:r>
      <w:r w:rsidRPr="00B6214B">
        <w:rPr>
          <w:b w:val="0"/>
          <w:bCs w:val="0"/>
          <w:sz w:val="20"/>
          <w:szCs w:val="20"/>
        </w:rPr>
        <w:t xml:space="preserve">– 2. </w:t>
      </w:r>
      <w:r w:rsidR="00776905" w:rsidRPr="00776905">
        <w:rPr>
          <w:b w:val="0"/>
          <w:bCs w:val="0"/>
          <w:sz w:val="20"/>
          <w:szCs w:val="20"/>
        </w:rPr>
        <w:t>Scopo pratico della negoziazione dei crediti deteriorati e dinamiche di mercato</w:t>
      </w:r>
      <w:r w:rsidR="00776905">
        <w:rPr>
          <w:b w:val="0"/>
          <w:bCs w:val="0"/>
          <w:sz w:val="20"/>
          <w:szCs w:val="20"/>
        </w:rPr>
        <w:t xml:space="preserve"> – 3</w:t>
      </w:r>
      <w:r w:rsidR="00776905" w:rsidRPr="00776905">
        <w:rPr>
          <w:b w:val="0"/>
          <w:bCs w:val="0"/>
          <w:sz w:val="20"/>
          <w:szCs w:val="20"/>
        </w:rPr>
        <w:t xml:space="preserve">. Il mercato dei crediti deteriorati come </w:t>
      </w:r>
      <w:r w:rsidR="00776905" w:rsidRPr="00B0365F">
        <w:rPr>
          <w:b w:val="0"/>
          <w:bCs w:val="0"/>
          <w:i/>
          <w:iCs/>
          <w:sz w:val="20"/>
          <w:szCs w:val="20"/>
        </w:rPr>
        <w:t xml:space="preserve">locus </w:t>
      </w:r>
      <w:proofErr w:type="spellStart"/>
      <w:r w:rsidR="00776905" w:rsidRPr="00B0365F">
        <w:rPr>
          <w:b w:val="0"/>
          <w:bCs w:val="0"/>
          <w:i/>
          <w:iCs/>
          <w:sz w:val="20"/>
          <w:szCs w:val="20"/>
        </w:rPr>
        <w:t>artificialis</w:t>
      </w:r>
      <w:proofErr w:type="spellEnd"/>
      <w:r w:rsidR="00776905">
        <w:rPr>
          <w:b w:val="0"/>
          <w:bCs w:val="0"/>
          <w:sz w:val="20"/>
          <w:szCs w:val="20"/>
        </w:rPr>
        <w:t xml:space="preserve"> – </w:t>
      </w:r>
      <w:r w:rsidR="00B0365F" w:rsidRPr="00B0365F">
        <w:rPr>
          <w:b w:val="0"/>
          <w:bCs w:val="0"/>
          <w:sz w:val="20"/>
          <w:szCs w:val="20"/>
        </w:rPr>
        <w:t>4. La razionalità economica della negoziazione di NPE</w:t>
      </w:r>
      <w:r w:rsidR="00333B46">
        <w:rPr>
          <w:b w:val="0"/>
          <w:bCs w:val="0"/>
          <w:sz w:val="20"/>
          <w:szCs w:val="20"/>
        </w:rPr>
        <w:t xml:space="preserve"> – 5</w:t>
      </w:r>
      <w:r w:rsidR="00333B46" w:rsidRPr="00333B46">
        <w:rPr>
          <w:b w:val="0"/>
          <w:bCs w:val="0"/>
          <w:sz w:val="20"/>
          <w:szCs w:val="20"/>
        </w:rPr>
        <w:t>. La tutela del valore economico dei crediti deteriorati</w:t>
      </w:r>
      <w:r w:rsidR="00333B46">
        <w:rPr>
          <w:b w:val="0"/>
          <w:bCs w:val="0"/>
          <w:sz w:val="20"/>
          <w:szCs w:val="20"/>
        </w:rPr>
        <w:t xml:space="preserve"> – 6. Conclusioni</w:t>
      </w:r>
      <w:r w:rsidR="00501E32">
        <w:rPr>
          <w:b w:val="0"/>
          <w:bCs w:val="0"/>
          <w:sz w:val="20"/>
          <w:szCs w:val="20"/>
        </w:rPr>
        <w:t>.</w:t>
      </w:r>
    </w:p>
    <w:p w:rsidR="00AB6935" w:rsidRDefault="00AB6935" w:rsidP="00AB6935">
      <w:pPr>
        <w:pStyle w:val="Titolo2"/>
        <w:spacing w:before="0" w:beforeAutospacing="0" w:after="0" w:afterAutospacing="0"/>
        <w:rPr>
          <w:sz w:val="22"/>
          <w:szCs w:val="22"/>
        </w:rPr>
      </w:pPr>
    </w:p>
    <w:p w:rsidR="00AB6935" w:rsidRDefault="00AB6935" w:rsidP="00AB6935">
      <w:pPr>
        <w:pStyle w:val="Titolo2"/>
        <w:spacing w:before="0" w:beforeAutospacing="0" w:after="0" w:afterAutospacing="0" w:line="276" w:lineRule="auto"/>
        <w:rPr>
          <w:sz w:val="22"/>
          <w:szCs w:val="22"/>
        </w:rPr>
      </w:pPr>
    </w:p>
    <w:p w:rsidR="00AB6935" w:rsidRPr="00AB6935" w:rsidRDefault="00AB6935" w:rsidP="00B106E0">
      <w:pPr>
        <w:keepNext/>
        <w:widowControl w:val="0"/>
        <w:spacing w:after="240" w:line="360" w:lineRule="auto"/>
        <w:jc w:val="both"/>
        <w:rPr>
          <w:rFonts w:ascii="Times New Roman" w:hAnsi="Times New Roman" w:cs="Times New Roman"/>
          <w:i/>
          <w:iCs/>
          <w:sz w:val="22"/>
          <w:szCs w:val="22"/>
        </w:rPr>
      </w:pPr>
      <w:r w:rsidRPr="00AB6935">
        <w:rPr>
          <w:rFonts w:ascii="Times New Roman" w:hAnsi="Times New Roman" w:cs="Times New Roman"/>
          <w:i/>
          <w:iCs/>
          <w:sz w:val="22"/>
          <w:szCs w:val="22"/>
        </w:rPr>
        <w:t xml:space="preserve">1. Il mercato dei crediti </w:t>
      </w:r>
      <w:r w:rsidRPr="00AB6935">
        <w:rPr>
          <w:rFonts w:ascii="Times New Roman" w:hAnsi="Times New Roman" w:cs="Times New Roman"/>
          <w:sz w:val="22"/>
          <w:szCs w:val="22"/>
        </w:rPr>
        <w:t xml:space="preserve">non </w:t>
      </w:r>
      <w:proofErr w:type="spellStart"/>
      <w:r w:rsidRPr="00AB6935">
        <w:rPr>
          <w:rFonts w:ascii="Times New Roman" w:hAnsi="Times New Roman" w:cs="Times New Roman"/>
          <w:sz w:val="22"/>
          <w:szCs w:val="22"/>
        </w:rPr>
        <w:t>performing</w:t>
      </w:r>
      <w:proofErr w:type="spellEnd"/>
      <w:r w:rsidRPr="00AB6935">
        <w:rPr>
          <w:rFonts w:ascii="Times New Roman" w:hAnsi="Times New Roman" w:cs="Times New Roman"/>
          <w:i/>
          <w:iCs/>
          <w:sz w:val="22"/>
          <w:szCs w:val="22"/>
        </w:rPr>
        <w:t>: analisi economica del fenomeno</w:t>
      </w:r>
    </w:p>
    <w:p w:rsidR="005C1BF3" w:rsidRPr="00AB6935" w:rsidRDefault="00631B15" w:rsidP="00B106E0">
      <w:pPr>
        <w:spacing w:line="360" w:lineRule="auto"/>
        <w:jc w:val="both"/>
        <w:rPr>
          <w:rFonts w:ascii="Times New Roman" w:eastAsia="Times New Roman" w:hAnsi="Times New Roman" w:cs="Times New Roman"/>
          <w:color w:val="4B4B4C"/>
          <w:sz w:val="22"/>
          <w:szCs w:val="22"/>
          <w:lang w:eastAsia="it-IT"/>
        </w:rPr>
      </w:pPr>
      <w:r w:rsidRPr="00AB6935">
        <w:rPr>
          <w:rFonts w:ascii="Times New Roman" w:eastAsia="Times New Roman" w:hAnsi="Times New Roman" w:cs="Times New Roman"/>
          <w:color w:val="4B4B4C"/>
          <w:sz w:val="22"/>
          <w:szCs w:val="22"/>
          <w:lang w:eastAsia="it-IT"/>
        </w:rPr>
        <w:t>Nel 2021 il volume delle operazioni aventi ad oggetto crediti deteriorati (</w:t>
      </w:r>
      <w:r w:rsidRPr="00AB6935">
        <w:rPr>
          <w:rFonts w:ascii="Times New Roman" w:eastAsia="Times New Roman" w:hAnsi="Times New Roman" w:cs="Times New Roman"/>
          <w:i/>
          <w:iCs/>
          <w:color w:val="4B4B4C"/>
          <w:sz w:val="22"/>
          <w:szCs w:val="22"/>
          <w:lang w:eastAsia="it-IT"/>
        </w:rPr>
        <w:t xml:space="preserve">Non </w:t>
      </w:r>
      <w:proofErr w:type="spellStart"/>
      <w:r w:rsidRPr="00AB6935">
        <w:rPr>
          <w:rFonts w:ascii="Times New Roman" w:eastAsia="Times New Roman" w:hAnsi="Times New Roman" w:cs="Times New Roman"/>
          <w:i/>
          <w:iCs/>
          <w:color w:val="4B4B4C"/>
          <w:sz w:val="22"/>
          <w:szCs w:val="22"/>
          <w:lang w:eastAsia="it-IT"/>
        </w:rPr>
        <w:t>Performing</w:t>
      </w:r>
      <w:proofErr w:type="spellEnd"/>
      <w:r w:rsidRPr="00AB6935">
        <w:rPr>
          <w:rFonts w:ascii="Times New Roman" w:eastAsia="Times New Roman" w:hAnsi="Times New Roman" w:cs="Times New Roman"/>
          <w:i/>
          <w:iCs/>
          <w:color w:val="4B4B4C"/>
          <w:sz w:val="22"/>
          <w:szCs w:val="22"/>
          <w:lang w:eastAsia="it-IT"/>
        </w:rPr>
        <w:t xml:space="preserve"> </w:t>
      </w:r>
      <w:proofErr w:type="spellStart"/>
      <w:r w:rsidRPr="00AB6935">
        <w:rPr>
          <w:rFonts w:ascii="Times New Roman" w:eastAsia="Times New Roman" w:hAnsi="Times New Roman" w:cs="Times New Roman"/>
          <w:i/>
          <w:iCs/>
          <w:color w:val="4B4B4C"/>
          <w:sz w:val="22"/>
          <w:szCs w:val="22"/>
          <w:lang w:eastAsia="it-IT"/>
        </w:rPr>
        <w:t>Loans</w:t>
      </w:r>
      <w:proofErr w:type="spellEnd"/>
      <w:r w:rsidRPr="00AB6935">
        <w:rPr>
          <w:rFonts w:ascii="Times New Roman" w:eastAsia="Times New Roman" w:hAnsi="Times New Roman" w:cs="Times New Roman"/>
          <w:color w:val="4B4B4C"/>
          <w:sz w:val="22"/>
          <w:szCs w:val="22"/>
          <w:lang w:eastAsia="it-IT"/>
        </w:rPr>
        <w:t>, NPL) ha raggiunto la soglia di 31 miliardi di euro</w:t>
      </w:r>
      <w:r w:rsidR="0039009B" w:rsidRPr="00AB6935">
        <w:rPr>
          <w:rFonts w:ascii="Times New Roman" w:eastAsia="Times New Roman" w:hAnsi="Times New Roman" w:cs="Times New Roman"/>
          <w:color w:val="4B4B4C"/>
          <w:sz w:val="22"/>
          <w:szCs w:val="22"/>
          <w:lang w:eastAsia="it-IT"/>
        </w:rPr>
        <w:t>, cui vanno aggiunti ulteriori 2 miliardi di euro di operazioni su crediti incagliati (</w:t>
      </w:r>
      <w:proofErr w:type="spellStart"/>
      <w:r w:rsidR="0039009B" w:rsidRPr="00035818">
        <w:rPr>
          <w:rFonts w:ascii="Times New Roman" w:eastAsia="Times New Roman" w:hAnsi="Times New Roman" w:cs="Times New Roman"/>
          <w:i/>
          <w:iCs/>
          <w:color w:val="4B4B4C"/>
          <w:sz w:val="22"/>
          <w:szCs w:val="22"/>
          <w:lang w:eastAsia="it-IT"/>
        </w:rPr>
        <w:t>Unlikely</w:t>
      </w:r>
      <w:proofErr w:type="spellEnd"/>
      <w:r w:rsidR="0039009B" w:rsidRPr="00035818">
        <w:rPr>
          <w:rFonts w:ascii="Times New Roman" w:eastAsia="Times New Roman" w:hAnsi="Times New Roman" w:cs="Times New Roman"/>
          <w:i/>
          <w:iCs/>
          <w:color w:val="4B4B4C"/>
          <w:sz w:val="22"/>
          <w:szCs w:val="22"/>
          <w:lang w:eastAsia="it-IT"/>
        </w:rPr>
        <w:t xml:space="preserve"> To </w:t>
      </w:r>
      <w:proofErr w:type="spellStart"/>
      <w:r w:rsidR="0039009B" w:rsidRPr="00035818">
        <w:rPr>
          <w:rFonts w:ascii="Times New Roman" w:eastAsia="Times New Roman" w:hAnsi="Times New Roman" w:cs="Times New Roman"/>
          <w:i/>
          <w:iCs/>
          <w:color w:val="4B4B4C"/>
          <w:sz w:val="22"/>
          <w:szCs w:val="22"/>
          <w:lang w:eastAsia="it-IT"/>
        </w:rPr>
        <w:t>Pay</w:t>
      </w:r>
      <w:proofErr w:type="spellEnd"/>
      <w:r w:rsidR="0039009B" w:rsidRPr="00AB6935">
        <w:rPr>
          <w:rFonts w:ascii="Times New Roman" w:eastAsia="Times New Roman" w:hAnsi="Times New Roman" w:cs="Times New Roman"/>
          <w:color w:val="4B4B4C"/>
          <w:sz w:val="22"/>
          <w:szCs w:val="22"/>
          <w:lang w:eastAsia="it-IT"/>
        </w:rPr>
        <w:t>, UTP)</w:t>
      </w:r>
      <w:r w:rsidR="001D03F1" w:rsidRPr="00AB6935">
        <w:rPr>
          <w:rStyle w:val="Rimandonotaapidipagina"/>
          <w:sz w:val="22"/>
          <w:szCs w:val="22"/>
          <w:lang w:eastAsia="it-IT"/>
        </w:rPr>
        <w:footnoteReference w:id="2"/>
      </w:r>
      <w:r w:rsidR="00AB6935">
        <w:rPr>
          <w:rFonts w:ascii="Times New Roman" w:eastAsia="Times New Roman" w:hAnsi="Times New Roman" w:cs="Times New Roman"/>
          <w:color w:val="4B4B4C"/>
          <w:sz w:val="22"/>
          <w:szCs w:val="22"/>
          <w:lang w:eastAsia="it-IT"/>
        </w:rPr>
        <w:t>.</w:t>
      </w:r>
      <w:r w:rsidR="005C1BF3">
        <w:rPr>
          <w:rFonts w:ascii="Times New Roman" w:eastAsia="Times New Roman" w:hAnsi="Times New Roman" w:cs="Times New Roman"/>
          <w:color w:val="4B4B4C"/>
          <w:sz w:val="22"/>
          <w:szCs w:val="22"/>
          <w:lang w:eastAsia="it-IT"/>
        </w:rPr>
        <w:t xml:space="preserve"> Nei primi nove mesi del 2022 </w:t>
      </w:r>
      <w:r w:rsidR="00035818" w:rsidRPr="00035818">
        <w:rPr>
          <w:rFonts w:ascii="Times New Roman" w:eastAsia="Times New Roman" w:hAnsi="Times New Roman" w:cs="Times New Roman"/>
          <w:color w:val="4B4B4C"/>
          <w:sz w:val="22"/>
          <w:szCs w:val="22"/>
          <w:lang w:eastAsia="it-IT"/>
        </w:rPr>
        <w:t>sono stati transati 22 miliardi di euro di portafogli NPL e UTP</w:t>
      </w:r>
      <w:r w:rsidR="00035818">
        <w:rPr>
          <w:rFonts w:ascii="Times New Roman" w:eastAsia="Times New Roman" w:hAnsi="Times New Roman" w:cs="Times New Roman"/>
          <w:color w:val="4B4B4C"/>
          <w:sz w:val="22"/>
          <w:szCs w:val="22"/>
          <w:lang w:eastAsia="it-IT"/>
        </w:rPr>
        <w:t xml:space="preserve"> </w:t>
      </w:r>
      <w:r w:rsidR="005C1BF3">
        <w:rPr>
          <w:rFonts w:ascii="Times New Roman" w:eastAsia="Times New Roman" w:hAnsi="Times New Roman" w:cs="Times New Roman"/>
          <w:color w:val="4B4B4C"/>
          <w:sz w:val="22"/>
          <w:szCs w:val="22"/>
          <w:lang w:eastAsia="it-IT"/>
        </w:rPr>
        <w:t xml:space="preserve">(dato aggiornato al </w:t>
      </w:r>
      <w:r w:rsidR="00035818">
        <w:rPr>
          <w:rFonts w:ascii="Times New Roman" w:eastAsia="Times New Roman" w:hAnsi="Times New Roman" w:cs="Times New Roman"/>
          <w:color w:val="4B4B4C"/>
          <w:sz w:val="22"/>
          <w:szCs w:val="22"/>
          <w:lang w:eastAsia="it-IT"/>
        </w:rPr>
        <w:t>15 settembre) e la stima dell</w:t>
      </w:r>
      <w:r w:rsidR="00501E32">
        <w:rPr>
          <w:rFonts w:ascii="Times New Roman" w:eastAsia="Times New Roman" w:hAnsi="Times New Roman" w:cs="Times New Roman"/>
          <w:color w:val="4B4B4C"/>
          <w:sz w:val="22"/>
          <w:szCs w:val="22"/>
          <w:lang w:eastAsia="it-IT"/>
        </w:rPr>
        <w:t>’</w:t>
      </w:r>
      <w:r w:rsidR="00035818">
        <w:rPr>
          <w:rFonts w:ascii="Times New Roman" w:eastAsia="Times New Roman" w:hAnsi="Times New Roman" w:cs="Times New Roman"/>
          <w:color w:val="4B4B4C"/>
          <w:sz w:val="22"/>
          <w:szCs w:val="22"/>
          <w:lang w:eastAsia="it-IT"/>
        </w:rPr>
        <w:t>intero anno è di 35 miliardi, in netta crescita rispetto all</w:t>
      </w:r>
      <w:r w:rsidR="00501E32">
        <w:rPr>
          <w:rFonts w:ascii="Times New Roman" w:eastAsia="Times New Roman" w:hAnsi="Times New Roman" w:cs="Times New Roman"/>
          <w:color w:val="4B4B4C"/>
          <w:sz w:val="22"/>
          <w:szCs w:val="22"/>
          <w:lang w:eastAsia="it-IT"/>
        </w:rPr>
        <w:t>’</w:t>
      </w:r>
      <w:r w:rsidR="00035818">
        <w:rPr>
          <w:rFonts w:ascii="Times New Roman" w:eastAsia="Times New Roman" w:hAnsi="Times New Roman" w:cs="Times New Roman"/>
          <w:color w:val="4B4B4C"/>
          <w:sz w:val="22"/>
          <w:szCs w:val="22"/>
          <w:lang w:eastAsia="it-IT"/>
        </w:rPr>
        <w:t>anno precedente</w:t>
      </w:r>
      <w:r w:rsidR="00035818">
        <w:rPr>
          <w:rStyle w:val="Rimandonotaapidipagina"/>
          <w:rFonts w:ascii="Times New Roman" w:eastAsia="Times New Roman" w:hAnsi="Times New Roman" w:cs="Times New Roman"/>
          <w:color w:val="4B4B4C"/>
          <w:sz w:val="22"/>
          <w:szCs w:val="22"/>
          <w:lang w:eastAsia="it-IT"/>
        </w:rPr>
        <w:footnoteReference w:id="3"/>
      </w:r>
      <w:r w:rsidR="00035818">
        <w:rPr>
          <w:rFonts w:ascii="Times New Roman" w:eastAsia="Times New Roman" w:hAnsi="Times New Roman" w:cs="Times New Roman"/>
          <w:color w:val="4B4B4C"/>
          <w:sz w:val="22"/>
          <w:szCs w:val="22"/>
          <w:lang w:eastAsia="it-IT"/>
        </w:rPr>
        <w:t>.</w:t>
      </w:r>
    </w:p>
    <w:p w:rsidR="000F567C" w:rsidRDefault="000F567C" w:rsidP="00B106E0">
      <w:pPr>
        <w:spacing w:line="360" w:lineRule="auto"/>
        <w:jc w:val="both"/>
        <w:rPr>
          <w:rFonts w:ascii="Times New Roman" w:eastAsia="Times New Roman" w:hAnsi="Times New Roman" w:cs="Times New Roman"/>
          <w:color w:val="4B4B4C"/>
          <w:sz w:val="22"/>
          <w:szCs w:val="22"/>
          <w:lang w:eastAsia="it-IT"/>
        </w:rPr>
      </w:pPr>
      <w:r w:rsidRPr="00AB6935">
        <w:rPr>
          <w:rFonts w:ascii="Times New Roman" w:eastAsia="Times New Roman" w:hAnsi="Times New Roman" w:cs="Times New Roman"/>
          <w:color w:val="4B4B4C"/>
          <w:sz w:val="22"/>
          <w:szCs w:val="22"/>
          <w:lang w:eastAsia="it-IT"/>
        </w:rPr>
        <w:t>Per dare un</w:t>
      </w:r>
      <w:r w:rsidR="00501E32">
        <w:rPr>
          <w:rFonts w:ascii="Times New Roman" w:eastAsia="Times New Roman" w:hAnsi="Times New Roman" w:cs="Times New Roman"/>
          <w:color w:val="4B4B4C"/>
          <w:sz w:val="22"/>
          <w:szCs w:val="22"/>
          <w:lang w:eastAsia="it-IT"/>
        </w:rPr>
        <w:t>’</w:t>
      </w:r>
      <w:r w:rsidRPr="00AB6935">
        <w:rPr>
          <w:rFonts w:ascii="Times New Roman" w:eastAsia="Times New Roman" w:hAnsi="Times New Roman" w:cs="Times New Roman"/>
          <w:color w:val="4B4B4C"/>
          <w:sz w:val="22"/>
          <w:szCs w:val="22"/>
          <w:lang w:eastAsia="it-IT"/>
        </w:rPr>
        <w:t xml:space="preserve">idea della dimensione del mercato dei </w:t>
      </w:r>
      <w:r w:rsidR="00035818">
        <w:rPr>
          <w:rFonts w:ascii="Times New Roman" w:eastAsia="Times New Roman" w:hAnsi="Times New Roman" w:cs="Times New Roman"/>
          <w:color w:val="4B4B4C"/>
          <w:sz w:val="22"/>
          <w:szCs w:val="22"/>
          <w:lang w:eastAsia="it-IT"/>
        </w:rPr>
        <w:t xml:space="preserve">crediti deteriorati </w:t>
      </w:r>
      <w:r w:rsidRPr="00AB6935">
        <w:rPr>
          <w:rFonts w:ascii="Times New Roman" w:eastAsia="Times New Roman" w:hAnsi="Times New Roman" w:cs="Times New Roman"/>
          <w:color w:val="4B4B4C"/>
          <w:sz w:val="22"/>
          <w:szCs w:val="22"/>
          <w:lang w:eastAsia="it-IT"/>
        </w:rPr>
        <w:t>basta considerare che la domanda di auto</w:t>
      </w:r>
      <w:r w:rsidR="00A00780" w:rsidRPr="00AB6935">
        <w:rPr>
          <w:rFonts w:ascii="Times New Roman" w:eastAsia="Times New Roman" w:hAnsi="Times New Roman" w:cs="Times New Roman"/>
          <w:color w:val="4B4B4C"/>
          <w:sz w:val="22"/>
          <w:szCs w:val="22"/>
          <w:lang w:eastAsia="it-IT"/>
        </w:rPr>
        <w:t xml:space="preserve">vetture </w:t>
      </w:r>
      <w:r w:rsidRPr="00AB6935">
        <w:rPr>
          <w:rFonts w:ascii="Times New Roman" w:eastAsia="Times New Roman" w:hAnsi="Times New Roman" w:cs="Times New Roman"/>
          <w:color w:val="4B4B4C"/>
          <w:sz w:val="22"/>
          <w:szCs w:val="22"/>
          <w:lang w:eastAsia="it-IT"/>
        </w:rPr>
        <w:t>nuove in Italia nel periodo ante-Covid (</w:t>
      </w:r>
      <w:r w:rsidR="0039009B" w:rsidRPr="00AB6935">
        <w:rPr>
          <w:rFonts w:ascii="Times New Roman" w:eastAsia="Times New Roman" w:hAnsi="Times New Roman" w:cs="Times New Roman"/>
          <w:color w:val="4B4B4C"/>
          <w:sz w:val="22"/>
          <w:szCs w:val="22"/>
          <w:lang w:eastAsia="it-IT"/>
        </w:rPr>
        <w:t>nel</w:t>
      </w:r>
      <w:r w:rsidRPr="00AB6935">
        <w:rPr>
          <w:rFonts w:ascii="Times New Roman" w:eastAsia="Times New Roman" w:hAnsi="Times New Roman" w:cs="Times New Roman"/>
          <w:color w:val="4B4B4C"/>
          <w:sz w:val="22"/>
          <w:szCs w:val="22"/>
          <w:lang w:eastAsia="it-IT"/>
        </w:rPr>
        <w:t xml:space="preserve"> 2017</w:t>
      </w:r>
      <w:r w:rsidR="0039009B" w:rsidRPr="00AB6935">
        <w:rPr>
          <w:rFonts w:ascii="Times New Roman" w:eastAsia="Times New Roman" w:hAnsi="Times New Roman" w:cs="Times New Roman"/>
          <w:color w:val="4B4B4C"/>
          <w:sz w:val="22"/>
          <w:szCs w:val="22"/>
          <w:lang w:eastAsia="it-IT"/>
        </w:rPr>
        <w:t xml:space="preserve">, allorquando si è registrata una delle migliori </w:t>
      </w:r>
      <w:r w:rsidR="0039009B" w:rsidRPr="00AB6935">
        <w:rPr>
          <w:rFonts w:ascii="Times New Roman" w:eastAsia="Times New Roman" w:hAnsi="Times New Roman" w:cs="Times New Roman"/>
          <w:i/>
          <w:iCs/>
          <w:color w:val="4B4B4C"/>
          <w:sz w:val="22"/>
          <w:szCs w:val="22"/>
          <w:lang w:eastAsia="it-IT"/>
        </w:rPr>
        <w:t>performance</w:t>
      </w:r>
      <w:r w:rsidR="0039009B" w:rsidRPr="00AB6935">
        <w:rPr>
          <w:rFonts w:ascii="Times New Roman" w:eastAsia="Times New Roman" w:hAnsi="Times New Roman" w:cs="Times New Roman"/>
          <w:color w:val="4B4B4C"/>
          <w:sz w:val="22"/>
          <w:szCs w:val="22"/>
          <w:lang w:eastAsia="it-IT"/>
        </w:rPr>
        <w:t xml:space="preserve"> degli ultimi anni</w:t>
      </w:r>
      <w:r w:rsidRPr="00AB6935">
        <w:rPr>
          <w:rFonts w:ascii="Times New Roman" w:eastAsia="Times New Roman" w:hAnsi="Times New Roman" w:cs="Times New Roman"/>
          <w:color w:val="4B4B4C"/>
          <w:sz w:val="22"/>
          <w:szCs w:val="22"/>
          <w:lang w:eastAsia="it-IT"/>
        </w:rPr>
        <w:t>) ha avuto un controvalore di circa 38,5 milioni di euro</w:t>
      </w:r>
      <w:r w:rsidR="0039009B" w:rsidRPr="00AB6935">
        <w:rPr>
          <w:rStyle w:val="Rimandonotaapidipagina"/>
          <w:sz w:val="22"/>
          <w:szCs w:val="22"/>
          <w:lang w:eastAsia="it-IT"/>
        </w:rPr>
        <w:footnoteReference w:id="4"/>
      </w:r>
      <w:r w:rsidR="0039009B" w:rsidRPr="00AB6935">
        <w:rPr>
          <w:rFonts w:ascii="Times New Roman" w:eastAsia="Times New Roman" w:hAnsi="Times New Roman" w:cs="Times New Roman"/>
          <w:color w:val="4B4B4C"/>
          <w:sz w:val="22"/>
          <w:szCs w:val="22"/>
          <w:lang w:eastAsia="it-IT"/>
        </w:rPr>
        <w:t xml:space="preserve">, ossia poco più di un millesimo di quello del volume di scambi dei crediti </w:t>
      </w:r>
      <w:r w:rsidR="0039009B" w:rsidRPr="00AB6935">
        <w:rPr>
          <w:rFonts w:ascii="Times New Roman" w:eastAsia="Times New Roman" w:hAnsi="Times New Roman" w:cs="Times New Roman"/>
          <w:i/>
          <w:iCs/>
          <w:color w:val="4B4B4C"/>
          <w:sz w:val="22"/>
          <w:szCs w:val="22"/>
          <w:lang w:eastAsia="it-IT"/>
        </w:rPr>
        <w:t xml:space="preserve">non </w:t>
      </w:r>
      <w:proofErr w:type="spellStart"/>
      <w:r w:rsidR="0039009B" w:rsidRPr="00AB6935">
        <w:rPr>
          <w:rFonts w:ascii="Times New Roman" w:eastAsia="Times New Roman" w:hAnsi="Times New Roman" w:cs="Times New Roman"/>
          <w:i/>
          <w:iCs/>
          <w:color w:val="4B4B4C"/>
          <w:sz w:val="22"/>
          <w:szCs w:val="22"/>
          <w:lang w:eastAsia="it-IT"/>
        </w:rPr>
        <w:t>performing</w:t>
      </w:r>
      <w:proofErr w:type="spellEnd"/>
      <w:r w:rsidR="0039009B" w:rsidRPr="00AB6935">
        <w:rPr>
          <w:rFonts w:ascii="Times New Roman" w:eastAsia="Times New Roman" w:hAnsi="Times New Roman" w:cs="Times New Roman"/>
          <w:color w:val="4B4B4C"/>
          <w:sz w:val="22"/>
          <w:szCs w:val="22"/>
          <w:lang w:eastAsia="it-IT"/>
        </w:rPr>
        <w:t>.</w:t>
      </w:r>
    </w:p>
    <w:p w:rsidR="0074725F" w:rsidRDefault="0074725F"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Inoltre, per</w:t>
      </w:r>
      <w:r w:rsidR="00D02482">
        <w:rPr>
          <w:rFonts w:ascii="Times New Roman" w:eastAsia="Times New Roman" w:hAnsi="Times New Roman" w:cs="Times New Roman"/>
          <w:color w:val="4B4B4C"/>
          <w:sz w:val="22"/>
          <w:szCs w:val="22"/>
          <w:lang w:eastAsia="it-IT"/>
        </w:rPr>
        <w:t xml:space="preserve"> comprendere</w:t>
      </w:r>
      <w:r>
        <w:rPr>
          <w:rFonts w:ascii="Times New Roman" w:eastAsia="Times New Roman" w:hAnsi="Times New Roman" w:cs="Times New Roman"/>
          <w:color w:val="4B4B4C"/>
          <w:sz w:val="22"/>
          <w:szCs w:val="22"/>
          <w:lang w:eastAsia="it-IT"/>
        </w:rPr>
        <w:t xml:space="preserve"> il </w:t>
      </w:r>
      <w:r w:rsidRPr="0074725F">
        <w:rPr>
          <w:rFonts w:ascii="Times New Roman" w:eastAsia="Times New Roman" w:hAnsi="Times New Roman" w:cs="Times New Roman"/>
          <w:color w:val="4B4B4C"/>
          <w:sz w:val="22"/>
          <w:szCs w:val="22"/>
          <w:lang w:eastAsia="it-IT"/>
        </w:rPr>
        <w:t xml:space="preserve">dinamismo del mercato </w:t>
      </w:r>
      <w:r w:rsidR="00035818">
        <w:rPr>
          <w:rFonts w:ascii="Times New Roman" w:eastAsia="Times New Roman" w:hAnsi="Times New Roman" w:cs="Times New Roman"/>
          <w:color w:val="4B4B4C"/>
          <w:sz w:val="22"/>
          <w:szCs w:val="22"/>
          <w:lang w:eastAsia="it-IT"/>
        </w:rPr>
        <w:t>NPE (</w:t>
      </w:r>
      <w:r w:rsidR="00035818" w:rsidRPr="00035818">
        <w:rPr>
          <w:rFonts w:ascii="Times New Roman" w:eastAsia="Times New Roman" w:hAnsi="Times New Roman" w:cs="Times New Roman"/>
          <w:i/>
          <w:iCs/>
          <w:color w:val="4B4B4C"/>
          <w:sz w:val="22"/>
          <w:szCs w:val="22"/>
          <w:lang w:eastAsia="it-IT"/>
        </w:rPr>
        <w:t xml:space="preserve">Non </w:t>
      </w:r>
      <w:proofErr w:type="spellStart"/>
      <w:r w:rsidR="00035818" w:rsidRPr="00035818">
        <w:rPr>
          <w:rFonts w:ascii="Times New Roman" w:eastAsia="Times New Roman" w:hAnsi="Times New Roman" w:cs="Times New Roman"/>
          <w:i/>
          <w:iCs/>
          <w:color w:val="4B4B4C"/>
          <w:sz w:val="22"/>
          <w:szCs w:val="22"/>
          <w:lang w:eastAsia="it-IT"/>
        </w:rPr>
        <w:t>Performing</w:t>
      </w:r>
      <w:proofErr w:type="spellEnd"/>
      <w:r w:rsidR="00035818" w:rsidRPr="00035818">
        <w:rPr>
          <w:rFonts w:ascii="Times New Roman" w:eastAsia="Times New Roman" w:hAnsi="Times New Roman" w:cs="Times New Roman"/>
          <w:i/>
          <w:iCs/>
          <w:color w:val="4B4B4C"/>
          <w:sz w:val="22"/>
          <w:szCs w:val="22"/>
          <w:lang w:eastAsia="it-IT"/>
        </w:rPr>
        <w:t xml:space="preserve"> </w:t>
      </w:r>
      <w:proofErr w:type="spellStart"/>
      <w:r w:rsidR="00035818" w:rsidRPr="00035818">
        <w:rPr>
          <w:rFonts w:ascii="Times New Roman" w:eastAsia="Times New Roman" w:hAnsi="Times New Roman" w:cs="Times New Roman"/>
          <w:i/>
          <w:iCs/>
          <w:color w:val="4B4B4C"/>
          <w:sz w:val="22"/>
          <w:szCs w:val="22"/>
          <w:lang w:eastAsia="it-IT"/>
        </w:rPr>
        <w:t>Exposures</w:t>
      </w:r>
      <w:proofErr w:type="spellEnd"/>
      <w:r w:rsidR="00035818">
        <w:rPr>
          <w:rFonts w:ascii="Times New Roman" w:eastAsia="Times New Roman" w:hAnsi="Times New Roman" w:cs="Times New Roman"/>
          <w:color w:val="4B4B4C"/>
          <w:sz w:val="22"/>
          <w:szCs w:val="22"/>
          <w:lang w:eastAsia="it-IT"/>
        </w:rPr>
        <w:t>, che comprende tutte le forme di credito deteriorato o a sofferenza)</w:t>
      </w:r>
      <w:r w:rsidRPr="0074725F">
        <w:rPr>
          <w:rFonts w:ascii="Times New Roman" w:eastAsia="Times New Roman" w:hAnsi="Times New Roman" w:cs="Times New Roman"/>
          <w:color w:val="4B4B4C"/>
          <w:sz w:val="22"/>
          <w:szCs w:val="22"/>
          <w:lang w:eastAsia="it-IT"/>
        </w:rPr>
        <w:t xml:space="preserve"> </w:t>
      </w:r>
      <w:r>
        <w:rPr>
          <w:rFonts w:ascii="Times New Roman" w:eastAsia="Times New Roman" w:hAnsi="Times New Roman" w:cs="Times New Roman"/>
          <w:color w:val="4B4B4C"/>
          <w:sz w:val="22"/>
          <w:szCs w:val="22"/>
          <w:lang w:eastAsia="it-IT"/>
        </w:rPr>
        <w:t xml:space="preserve">occorre considerare che ben il 32% del volume complessivo delle transazioni </w:t>
      </w:r>
      <w:r w:rsidRPr="0074725F">
        <w:rPr>
          <w:rFonts w:ascii="Times New Roman" w:eastAsia="Times New Roman" w:hAnsi="Times New Roman" w:cs="Times New Roman"/>
          <w:color w:val="4B4B4C"/>
          <w:sz w:val="22"/>
          <w:szCs w:val="22"/>
          <w:lang w:eastAsia="it-IT"/>
        </w:rPr>
        <w:t>è stato determinato</w:t>
      </w:r>
      <w:r>
        <w:rPr>
          <w:rFonts w:ascii="Times New Roman" w:eastAsia="Times New Roman" w:hAnsi="Times New Roman" w:cs="Times New Roman"/>
          <w:color w:val="4B4B4C"/>
          <w:sz w:val="22"/>
          <w:szCs w:val="22"/>
          <w:lang w:eastAsia="it-IT"/>
        </w:rPr>
        <w:t xml:space="preserve"> dal mercato c.d. </w:t>
      </w:r>
      <w:r w:rsidRPr="0074725F">
        <w:rPr>
          <w:rFonts w:ascii="Times New Roman" w:eastAsia="Times New Roman" w:hAnsi="Times New Roman" w:cs="Times New Roman"/>
          <w:color w:val="4B4B4C"/>
          <w:sz w:val="22"/>
          <w:szCs w:val="22"/>
          <w:lang w:eastAsia="it-IT"/>
        </w:rPr>
        <w:t>secondario</w:t>
      </w:r>
      <w:r>
        <w:rPr>
          <w:rFonts w:ascii="Times New Roman" w:eastAsia="Times New Roman" w:hAnsi="Times New Roman" w:cs="Times New Roman"/>
          <w:color w:val="4B4B4C"/>
          <w:sz w:val="22"/>
          <w:szCs w:val="22"/>
          <w:lang w:eastAsia="it-IT"/>
        </w:rPr>
        <w:t>, ossia dal trasferimento di portafogli che già avevano costituito oggetto di una prima cessione</w:t>
      </w:r>
      <w:r>
        <w:rPr>
          <w:rStyle w:val="Rimandonotaapidipagina"/>
          <w:rFonts w:ascii="Times New Roman" w:eastAsia="Times New Roman" w:hAnsi="Times New Roman" w:cs="Times New Roman"/>
          <w:color w:val="4B4B4C"/>
          <w:sz w:val="22"/>
          <w:szCs w:val="22"/>
          <w:lang w:eastAsia="it-IT"/>
        </w:rPr>
        <w:footnoteReference w:id="5"/>
      </w:r>
      <w:r>
        <w:rPr>
          <w:rFonts w:ascii="Times New Roman" w:eastAsia="Times New Roman" w:hAnsi="Times New Roman" w:cs="Times New Roman"/>
          <w:color w:val="4B4B4C"/>
          <w:sz w:val="22"/>
          <w:szCs w:val="22"/>
          <w:lang w:eastAsia="it-IT"/>
        </w:rPr>
        <w:t xml:space="preserve">. Il che significa che ad agire come </w:t>
      </w:r>
      <w:r w:rsidRPr="0074725F">
        <w:rPr>
          <w:rFonts w:ascii="Times New Roman" w:eastAsia="Times New Roman" w:hAnsi="Times New Roman" w:cs="Times New Roman"/>
          <w:i/>
          <w:iCs/>
          <w:color w:val="4B4B4C"/>
          <w:sz w:val="22"/>
          <w:szCs w:val="22"/>
          <w:lang w:eastAsia="it-IT"/>
        </w:rPr>
        <w:t>sellers</w:t>
      </w:r>
      <w:r>
        <w:rPr>
          <w:rFonts w:ascii="Times New Roman" w:eastAsia="Times New Roman" w:hAnsi="Times New Roman" w:cs="Times New Roman"/>
          <w:color w:val="4B4B4C"/>
          <w:sz w:val="22"/>
          <w:szCs w:val="22"/>
          <w:lang w:eastAsia="it-IT"/>
        </w:rPr>
        <w:t xml:space="preserve"> non sono solo le banche spinte dall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esigenza di </w:t>
      </w:r>
      <w:r w:rsidR="005C1BF3" w:rsidRPr="005C1BF3">
        <w:rPr>
          <w:rFonts w:ascii="Times New Roman" w:eastAsia="Times New Roman" w:hAnsi="Times New Roman" w:cs="Times New Roman"/>
          <w:color w:val="4B4B4C"/>
          <w:sz w:val="22"/>
          <w:szCs w:val="22"/>
          <w:lang w:eastAsia="it-IT"/>
        </w:rPr>
        <w:t xml:space="preserve">realizzare un </w:t>
      </w:r>
      <w:r w:rsidR="005C1BF3" w:rsidRPr="005C1BF3">
        <w:rPr>
          <w:rFonts w:ascii="Times New Roman" w:eastAsia="Times New Roman" w:hAnsi="Times New Roman" w:cs="Times New Roman"/>
          <w:color w:val="4B4B4C"/>
          <w:sz w:val="22"/>
          <w:szCs w:val="22"/>
          <w:lang w:eastAsia="it-IT"/>
        </w:rPr>
        <w:lastRenderedPageBreak/>
        <w:t xml:space="preserve">importante </w:t>
      </w:r>
      <w:r w:rsidR="005C1BF3" w:rsidRPr="005C1BF3">
        <w:rPr>
          <w:rFonts w:ascii="Times New Roman" w:eastAsia="Times New Roman" w:hAnsi="Times New Roman" w:cs="Times New Roman"/>
          <w:i/>
          <w:iCs/>
          <w:color w:val="4B4B4C"/>
          <w:sz w:val="22"/>
          <w:szCs w:val="22"/>
          <w:lang w:eastAsia="it-IT"/>
        </w:rPr>
        <w:t>de-</w:t>
      </w:r>
      <w:proofErr w:type="spellStart"/>
      <w:r w:rsidR="005C1BF3" w:rsidRPr="005C1BF3">
        <w:rPr>
          <w:rFonts w:ascii="Times New Roman" w:eastAsia="Times New Roman" w:hAnsi="Times New Roman" w:cs="Times New Roman"/>
          <w:i/>
          <w:iCs/>
          <w:color w:val="4B4B4C"/>
          <w:sz w:val="22"/>
          <w:szCs w:val="22"/>
          <w:lang w:eastAsia="it-IT"/>
        </w:rPr>
        <w:t>risking</w:t>
      </w:r>
      <w:proofErr w:type="spellEnd"/>
      <w:r w:rsidR="005C1BF3" w:rsidRPr="005C1BF3">
        <w:rPr>
          <w:rFonts w:ascii="Times New Roman" w:eastAsia="Times New Roman" w:hAnsi="Times New Roman" w:cs="Times New Roman"/>
          <w:color w:val="4B4B4C"/>
          <w:sz w:val="22"/>
          <w:szCs w:val="22"/>
          <w:lang w:eastAsia="it-IT"/>
        </w:rPr>
        <w:t xml:space="preserve"> sui propri bilanci</w:t>
      </w:r>
      <w:r w:rsidR="007D5366">
        <w:rPr>
          <w:rStyle w:val="Rimandonotaapidipagina"/>
          <w:rFonts w:ascii="Times New Roman" w:eastAsia="Times New Roman" w:hAnsi="Times New Roman" w:cs="Times New Roman"/>
          <w:color w:val="4B4B4C"/>
          <w:sz w:val="22"/>
          <w:szCs w:val="22"/>
          <w:lang w:eastAsia="it-IT"/>
        </w:rPr>
        <w:footnoteReference w:id="6"/>
      </w:r>
      <w:r>
        <w:rPr>
          <w:rFonts w:ascii="Times New Roman" w:eastAsia="Times New Roman" w:hAnsi="Times New Roman" w:cs="Times New Roman"/>
          <w:color w:val="4B4B4C"/>
          <w:sz w:val="22"/>
          <w:szCs w:val="22"/>
          <w:lang w:eastAsia="it-IT"/>
        </w:rPr>
        <w:t xml:space="preserve">, ma anche gli operatori finanziari del settore che acquistano e rivendono </w:t>
      </w:r>
      <w:r w:rsidRPr="0074725F">
        <w:rPr>
          <w:rFonts w:ascii="Times New Roman" w:eastAsia="Times New Roman" w:hAnsi="Times New Roman" w:cs="Times New Roman"/>
          <w:i/>
          <w:iCs/>
          <w:color w:val="4B4B4C"/>
          <w:sz w:val="22"/>
          <w:szCs w:val="22"/>
          <w:lang w:eastAsia="it-IT"/>
        </w:rPr>
        <w:t>stock</w:t>
      </w:r>
      <w:r>
        <w:rPr>
          <w:rFonts w:ascii="Times New Roman" w:eastAsia="Times New Roman" w:hAnsi="Times New Roman" w:cs="Times New Roman"/>
          <w:color w:val="4B4B4C"/>
          <w:sz w:val="22"/>
          <w:szCs w:val="22"/>
          <w:lang w:eastAsia="it-IT"/>
        </w:rPr>
        <w:t xml:space="preserve"> di crediti a sofferenza.</w:t>
      </w:r>
      <w:r w:rsidR="00F87173">
        <w:rPr>
          <w:rFonts w:ascii="Times New Roman" w:eastAsia="Times New Roman" w:hAnsi="Times New Roman" w:cs="Times New Roman"/>
          <w:color w:val="4B4B4C"/>
          <w:sz w:val="22"/>
          <w:szCs w:val="22"/>
          <w:lang w:eastAsia="it-IT"/>
        </w:rPr>
        <w:t xml:space="preserve"> </w:t>
      </w:r>
    </w:p>
    <w:p w:rsidR="005C1BF3" w:rsidRDefault="00F87173"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È opinione degli analisti che</w:t>
      </w:r>
      <w:r w:rsidR="005C1BF3">
        <w:rPr>
          <w:rFonts w:ascii="Times New Roman" w:eastAsia="Times New Roman" w:hAnsi="Times New Roman" w:cs="Times New Roman"/>
          <w:color w:val="4B4B4C"/>
          <w:sz w:val="22"/>
          <w:szCs w:val="22"/>
          <w:lang w:eastAsia="it-IT"/>
        </w:rPr>
        <w:t xml:space="preserve"> </w:t>
      </w:r>
      <w:r>
        <w:rPr>
          <w:rFonts w:ascii="Times New Roman" w:eastAsia="Times New Roman" w:hAnsi="Times New Roman" w:cs="Times New Roman"/>
          <w:color w:val="4B4B4C"/>
          <w:sz w:val="22"/>
          <w:szCs w:val="22"/>
          <w:lang w:eastAsia="it-IT"/>
        </w:rPr>
        <w:t>l</w:t>
      </w:r>
      <w:r w:rsidRPr="00F87173">
        <w:rPr>
          <w:rFonts w:ascii="Times New Roman" w:eastAsia="Times New Roman" w:hAnsi="Times New Roman" w:cs="Times New Roman"/>
          <w:color w:val="4B4B4C"/>
          <w:sz w:val="22"/>
          <w:szCs w:val="22"/>
          <w:lang w:eastAsia="it-IT"/>
        </w:rPr>
        <w:t>e aspettative sul mercato NPL s</w:t>
      </w:r>
      <w:r w:rsidR="005C1BF3">
        <w:rPr>
          <w:rFonts w:ascii="Times New Roman" w:eastAsia="Times New Roman" w:hAnsi="Times New Roman" w:cs="Times New Roman"/>
          <w:color w:val="4B4B4C"/>
          <w:sz w:val="22"/>
          <w:szCs w:val="22"/>
          <w:lang w:eastAsia="it-IT"/>
        </w:rPr>
        <w:t xml:space="preserve">iano </w:t>
      </w:r>
      <w:r w:rsidRPr="00F87173">
        <w:rPr>
          <w:rFonts w:ascii="Times New Roman" w:eastAsia="Times New Roman" w:hAnsi="Times New Roman" w:cs="Times New Roman"/>
          <w:color w:val="4B4B4C"/>
          <w:sz w:val="22"/>
          <w:szCs w:val="22"/>
          <w:lang w:eastAsia="it-IT"/>
        </w:rPr>
        <w:t>in crescita e le opportunit</w:t>
      </w:r>
      <w:r>
        <w:rPr>
          <w:rFonts w:ascii="Times New Roman" w:eastAsia="Times New Roman" w:hAnsi="Times New Roman" w:cs="Times New Roman"/>
          <w:color w:val="4B4B4C"/>
          <w:sz w:val="22"/>
          <w:szCs w:val="22"/>
          <w:lang w:eastAsia="it-IT"/>
        </w:rPr>
        <w:t>à</w:t>
      </w:r>
      <w:r w:rsidRPr="00F87173">
        <w:rPr>
          <w:rFonts w:ascii="Times New Roman" w:eastAsia="Times New Roman" w:hAnsi="Times New Roman" w:cs="Times New Roman"/>
          <w:color w:val="4B4B4C"/>
          <w:sz w:val="22"/>
          <w:szCs w:val="22"/>
          <w:lang w:eastAsia="it-IT"/>
        </w:rPr>
        <w:t xml:space="preserve"> di sviluppo ampie</w:t>
      </w:r>
      <w:r w:rsidR="00AC2136">
        <w:rPr>
          <w:rStyle w:val="Rimandonotaapidipagina"/>
          <w:rFonts w:ascii="Times New Roman" w:eastAsia="Times New Roman" w:hAnsi="Times New Roman" w:cs="Times New Roman"/>
          <w:color w:val="4B4B4C"/>
          <w:sz w:val="22"/>
          <w:szCs w:val="22"/>
          <w:lang w:eastAsia="it-IT"/>
        </w:rPr>
        <w:footnoteReference w:id="7"/>
      </w:r>
      <w:r>
        <w:rPr>
          <w:rFonts w:ascii="Times New Roman" w:eastAsia="Times New Roman" w:hAnsi="Times New Roman" w:cs="Times New Roman"/>
          <w:color w:val="4B4B4C"/>
          <w:sz w:val="22"/>
          <w:szCs w:val="22"/>
          <w:lang w:eastAsia="it-IT"/>
        </w:rPr>
        <w:t xml:space="preserve">. </w:t>
      </w:r>
      <w:r w:rsidR="005C1BF3">
        <w:rPr>
          <w:rFonts w:ascii="Times New Roman" w:eastAsia="Times New Roman" w:hAnsi="Times New Roman" w:cs="Times New Roman"/>
          <w:color w:val="4B4B4C"/>
          <w:sz w:val="22"/>
          <w:szCs w:val="22"/>
          <w:lang w:eastAsia="it-IT"/>
        </w:rPr>
        <w:t>N</w:t>
      </w:r>
      <w:r w:rsidR="005C1BF3" w:rsidRPr="005C1BF3">
        <w:rPr>
          <w:rFonts w:ascii="Times New Roman" w:eastAsia="Times New Roman" w:hAnsi="Times New Roman" w:cs="Times New Roman"/>
          <w:color w:val="4B4B4C"/>
          <w:sz w:val="22"/>
          <w:szCs w:val="22"/>
          <w:lang w:eastAsia="it-IT"/>
        </w:rPr>
        <w:t>el triennio 2022-2024, sono attesi 82 miliardi di euro di nuovi flussi di credito deteriorato</w:t>
      </w:r>
      <w:r w:rsidR="00B90C64">
        <w:rPr>
          <w:rStyle w:val="Rimandonotaapidipagina"/>
          <w:rFonts w:ascii="Times New Roman" w:eastAsia="Times New Roman" w:hAnsi="Times New Roman" w:cs="Times New Roman"/>
          <w:color w:val="4B4B4C"/>
          <w:sz w:val="22"/>
          <w:szCs w:val="22"/>
          <w:lang w:eastAsia="it-IT"/>
        </w:rPr>
        <w:footnoteReference w:id="8"/>
      </w:r>
      <w:r w:rsidR="005C1BF3">
        <w:rPr>
          <w:rFonts w:ascii="Times New Roman" w:eastAsia="Times New Roman" w:hAnsi="Times New Roman" w:cs="Times New Roman"/>
          <w:color w:val="4B4B4C"/>
          <w:sz w:val="22"/>
          <w:szCs w:val="22"/>
          <w:lang w:eastAsia="it-IT"/>
        </w:rPr>
        <w:t>.</w:t>
      </w:r>
    </w:p>
    <w:p w:rsidR="00631C46" w:rsidRDefault="005C1BF3"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Un</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ulteriore spinta alla fluidità del mercato proviene anche dalle autorità regolatrici. </w:t>
      </w:r>
      <w:r w:rsidR="00631C46" w:rsidRPr="00631C46">
        <w:rPr>
          <w:rFonts w:ascii="Times New Roman" w:eastAsia="Times New Roman" w:hAnsi="Times New Roman" w:cs="Times New Roman"/>
          <w:color w:val="4B4B4C"/>
          <w:sz w:val="22"/>
          <w:szCs w:val="22"/>
          <w:lang w:eastAsia="it-IT"/>
        </w:rPr>
        <w:t>A dicembre 2022 l</w:t>
      </w:r>
      <w:r w:rsidR="00501E32">
        <w:rPr>
          <w:rFonts w:ascii="Times New Roman" w:eastAsia="Times New Roman" w:hAnsi="Times New Roman" w:cs="Times New Roman"/>
          <w:color w:val="4B4B4C"/>
          <w:sz w:val="22"/>
          <w:szCs w:val="22"/>
          <w:lang w:eastAsia="it-IT"/>
        </w:rPr>
        <w:t>’</w:t>
      </w:r>
      <w:proofErr w:type="spellStart"/>
      <w:r w:rsidR="00631C46" w:rsidRPr="00631C46">
        <w:rPr>
          <w:rFonts w:ascii="Times New Roman" w:eastAsia="Times New Roman" w:hAnsi="Times New Roman" w:cs="Times New Roman"/>
          <w:i/>
          <w:iCs/>
          <w:color w:val="4B4B4C"/>
          <w:sz w:val="22"/>
          <w:szCs w:val="22"/>
          <w:lang w:eastAsia="it-IT"/>
        </w:rPr>
        <w:t>European</w:t>
      </w:r>
      <w:proofErr w:type="spellEnd"/>
      <w:r w:rsidR="00631C46" w:rsidRPr="00631C46">
        <w:rPr>
          <w:rFonts w:ascii="Times New Roman" w:eastAsia="Times New Roman" w:hAnsi="Times New Roman" w:cs="Times New Roman"/>
          <w:i/>
          <w:iCs/>
          <w:color w:val="4B4B4C"/>
          <w:sz w:val="22"/>
          <w:szCs w:val="22"/>
          <w:lang w:eastAsia="it-IT"/>
        </w:rPr>
        <w:t xml:space="preserve"> Banking Authority</w:t>
      </w:r>
      <w:r w:rsidR="00631C46" w:rsidRPr="00631C46">
        <w:rPr>
          <w:rFonts w:ascii="Times New Roman" w:eastAsia="Times New Roman" w:hAnsi="Times New Roman" w:cs="Times New Roman"/>
          <w:color w:val="4B4B4C"/>
          <w:sz w:val="22"/>
          <w:szCs w:val="22"/>
          <w:lang w:eastAsia="it-IT"/>
        </w:rPr>
        <w:t xml:space="preserve"> (EBA) ha pubblicato il </w:t>
      </w:r>
      <w:proofErr w:type="spellStart"/>
      <w:r w:rsidR="00631C46" w:rsidRPr="00631C46">
        <w:rPr>
          <w:rFonts w:ascii="Times New Roman" w:eastAsia="Times New Roman" w:hAnsi="Times New Roman" w:cs="Times New Roman"/>
          <w:i/>
          <w:iCs/>
          <w:color w:val="4B4B4C"/>
          <w:sz w:val="22"/>
          <w:szCs w:val="22"/>
          <w:lang w:eastAsia="it-IT"/>
        </w:rPr>
        <w:t>Final</w:t>
      </w:r>
      <w:proofErr w:type="spellEnd"/>
      <w:r w:rsidR="00631C46" w:rsidRPr="00631C46">
        <w:rPr>
          <w:rFonts w:ascii="Times New Roman" w:eastAsia="Times New Roman" w:hAnsi="Times New Roman" w:cs="Times New Roman"/>
          <w:i/>
          <w:iCs/>
          <w:color w:val="4B4B4C"/>
          <w:sz w:val="22"/>
          <w:szCs w:val="22"/>
          <w:lang w:eastAsia="it-IT"/>
        </w:rPr>
        <w:t xml:space="preserve"> Report</w:t>
      </w:r>
      <w:r w:rsidR="00631C46" w:rsidRPr="00631C46">
        <w:rPr>
          <w:rFonts w:ascii="Times New Roman" w:eastAsia="Times New Roman" w:hAnsi="Times New Roman" w:cs="Times New Roman"/>
          <w:color w:val="4B4B4C"/>
          <w:sz w:val="22"/>
          <w:szCs w:val="22"/>
          <w:lang w:eastAsia="it-IT"/>
        </w:rPr>
        <w:t xml:space="preserve"> sugli ITS che definiscono la struttura dell</w:t>
      </w:r>
      <w:r w:rsidR="00501E32">
        <w:rPr>
          <w:rFonts w:ascii="Times New Roman" w:eastAsia="Times New Roman" w:hAnsi="Times New Roman" w:cs="Times New Roman"/>
          <w:color w:val="4B4B4C"/>
          <w:sz w:val="22"/>
          <w:szCs w:val="22"/>
          <w:lang w:eastAsia="it-IT"/>
        </w:rPr>
        <w:t>’</w:t>
      </w:r>
      <w:r w:rsidR="00631C46" w:rsidRPr="00631C46">
        <w:rPr>
          <w:rFonts w:ascii="Times New Roman" w:eastAsia="Times New Roman" w:hAnsi="Times New Roman" w:cs="Times New Roman"/>
          <w:i/>
          <w:iCs/>
          <w:color w:val="4B4B4C"/>
          <w:sz w:val="22"/>
          <w:szCs w:val="22"/>
          <w:lang w:eastAsia="it-IT"/>
        </w:rPr>
        <w:t>NPL Data Template</w:t>
      </w:r>
      <w:r w:rsidR="00631C46" w:rsidRPr="00631C46">
        <w:rPr>
          <w:rFonts w:ascii="Times New Roman" w:eastAsia="Times New Roman" w:hAnsi="Times New Roman" w:cs="Times New Roman"/>
          <w:color w:val="4B4B4C"/>
          <w:sz w:val="22"/>
          <w:szCs w:val="22"/>
          <w:lang w:eastAsia="it-IT"/>
        </w:rPr>
        <w:t xml:space="preserve"> che gli enti creditizi devono compilare a favore dei potenziali</w:t>
      </w:r>
      <w:r w:rsidR="00631C46">
        <w:rPr>
          <w:rFonts w:ascii="Times New Roman" w:eastAsia="Times New Roman" w:hAnsi="Times New Roman" w:cs="Times New Roman"/>
          <w:color w:val="4B4B4C"/>
          <w:sz w:val="22"/>
          <w:szCs w:val="22"/>
          <w:lang w:eastAsia="it-IT"/>
        </w:rPr>
        <w:t xml:space="preserve"> acquirenti di </w:t>
      </w:r>
      <w:r w:rsidR="00631C46" w:rsidRPr="00631C46">
        <w:rPr>
          <w:rFonts w:ascii="Times New Roman" w:eastAsia="Times New Roman" w:hAnsi="Times New Roman" w:cs="Times New Roman"/>
          <w:color w:val="4B4B4C"/>
          <w:sz w:val="22"/>
          <w:szCs w:val="22"/>
          <w:lang w:eastAsia="it-IT"/>
        </w:rPr>
        <w:t>crediti deteriorati</w:t>
      </w:r>
      <w:r w:rsidR="00631C46">
        <w:rPr>
          <w:rStyle w:val="Rimandonotaapidipagina"/>
          <w:rFonts w:ascii="Times New Roman" w:eastAsia="Times New Roman" w:hAnsi="Times New Roman" w:cs="Times New Roman"/>
          <w:color w:val="4B4B4C"/>
          <w:sz w:val="22"/>
          <w:szCs w:val="22"/>
          <w:lang w:eastAsia="it-IT"/>
        </w:rPr>
        <w:footnoteReference w:id="9"/>
      </w:r>
      <w:r w:rsidR="00631C46">
        <w:rPr>
          <w:rFonts w:ascii="Times New Roman" w:eastAsia="Times New Roman" w:hAnsi="Times New Roman" w:cs="Times New Roman"/>
          <w:color w:val="4B4B4C"/>
          <w:sz w:val="22"/>
          <w:szCs w:val="22"/>
          <w:lang w:eastAsia="it-IT"/>
        </w:rPr>
        <w:t>.</w:t>
      </w:r>
      <w:r w:rsidR="00AC2136">
        <w:rPr>
          <w:rFonts w:ascii="Times New Roman" w:eastAsia="Times New Roman" w:hAnsi="Times New Roman" w:cs="Times New Roman"/>
          <w:color w:val="4B4B4C"/>
          <w:sz w:val="22"/>
          <w:szCs w:val="22"/>
          <w:lang w:eastAsia="it-IT"/>
        </w:rPr>
        <w:t xml:space="preserve"> Inoltre, la </w:t>
      </w:r>
      <w:r w:rsidR="00AC2136" w:rsidRPr="00AC2136">
        <w:rPr>
          <w:rFonts w:ascii="Times New Roman" w:eastAsia="Times New Roman" w:hAnsi="Times New Roman" w:cs="Times New Roman"/>
          <w:color w:val="4B4B4C"/>
          <w:sz w:val="22"/>
          <w:szCs w:val="22"/>
          <w:lang w:eastAsia="it-IT"/>
        </w:rPr>
        <w:t xml:space="preserve">Commissione Europea ha elaborato delle Linee Guida per favorire la </w:t>
      </w:r>
      <w:r w:rsidR="00AC2136" w:rsidRPr="00AC2136">
        <w:rPr>
          <w:rFonts w:ascii="Times New Roman" w:eastAsia="Times New Roman" w:hAnsi="Times New Roman" w:cs="Times New Roman"/>
          <w:i/>
          <w:iCs/>
          <w:color w:val="4B4B4C"/>
          <w:sz w:val="22"/>
          <w:szCs w:val="22"/>
          <w:lang w:eastAsia="it-IT"/>
        </w:rPr>
        <w:t xml:space="preserve">best </w:t>
      </w:r>
      <w:proofErr w:type="spellStart"/>
      <w:r w:rsidR="00AC2136" w:rsidRPr="00AC2136">
        <w:rPr>
          <w:rFonts w:ascii="Times New Roman" w:eastAsia="Times New Roman" w:hAnsi="Times New Roman" w:cs="Times New Roman"/>
          <w:i/>
          <w:iCs/>
          <w:color w:val="4B4B4C"/>
          <w:sz w:val="22"/>
          <w:szCs w:val="22"/>
          <w:lang w:eastAsia="it-IT"/>
        </w:rPr>
        <w:t>execution</w:t>
      </w:r>
      <w:proofErr w:type="spellEnd"/>
      <w:r w:rsidR="00AC2136" w:rsidRPr="00AC2136">
        <w:rPr>
          <w:rFonts w:ascii="Times New Roman" w:eastAsia="Times New Roman" w:hAnsi="Times New Roman" w:cs="Times New Roman"/>
          <w:color w:val="4B4B4C"/>
          <w:sz w:val="22"/>
          <w:szCs w:val="22"/>
          <w:lang w:eastAsia="it-IT"/>
        </w:rPr>
        <w:t xml:space="preserve"> del processo di vendita di NPL nel mercato secondario</w:t>
      </w:r>
      <w:r w:rsidR="00AC2136">
        <w:rPr>
          <w:rStyle w:val="Rimandonotaapidipagina"/>
          <w:rFonts w:ascii="Times New Roman" w:eastAsia="Times New Roman" w:hAnsi="Times New Roman" w:cs="Times New Roman"/>
          <w:color w:val="4B4B4C"/>
          <w:sz w:val="22"/>
          <w:szCs w:val="22"/>
          <w:lang w:eastAsia="it-IT"/>
        </w:rPr>
        <w:footnoteReference w:id="10"/>
      </w:r>
      <w:r w:rsidR="00AC2136">
        <w:rPr>
          <w:rFonts w:ascii="Times New Roman" w:eastAsia="Times New Roman" w:hAnsi="Times New Roman" w:cs="Times New Roman"/>
          <w:color w:val="4B4B4C"/>
          <w:sz w:val="22"/>
          <w:szCs w:val="22"/>
          <w:lang w:eastAsia="it-IT"/>
        </w:rPr>
        <w:t>.</w:t>
      </w:r>
    </w:p>
    <w:p w:rsidR="005C1BF3" w:rsidRDefault="005C1BF3"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Il dinamismo del mercato è, infine, agevolato dalla recente c</w:t>
      </w:r>
      <w:r w:rsidRPr="00631C46">
        <w:rPr>
          <w:rFonts w:ascii="Times New Roman" w:eastAsia="Times New Roman" w:hAnsi="Times New Roman" w:cs="Times New Roman"/>
          <w:color w:val="4B4B4C"/>
          <w:sz w:val="22"/>
          <w:szCs w:val="22"/>
          <w:lang w:eastAsia="it-IT"/>
        </w:rPr>
        <w:t xml:space="preserve">reazione di </w:t>
      </w:r>
      <w:r w:rsidRPr="00631C46">
        <w:rPr>
          <w:rFonts w:ascii="Times New Roman" w:eastAsia="Times New Roman" w:hAnsi="Times New Roman" w:cs="Times New Roman"/>
          <w:i/>
          <w:iCs/>
          <w:color w:val="4B4B4C"/>
          <w:sz w:val="22"/>
          <w:szCs w:val="22"/>
          <w:lang w:eastAsia="it-IT"/>
        </w:rPr>
        <w:t>marketplace</w:t>
      </w:r>
      <w:r w:rsidRPr="00631C46">
        <w:rPr>
          <w:rFonts w:ascii="Times New Roman" w:eastAsia="Times New Roman" w:hAnsi="Times New Roman" w:cs="Times New Roman"/>
          <w:color w:val="4B4B4C"/>
          <w:sz w:val="22"/>
          <w:szCs w:val="22"/>
          <w:lang w:eastAsia="it-IT"/>
        </w:rPr>
        <w:t xml:space="preserve"> e </w:t>
      </w:r>
      <w:r>
        <w:rPr>
          <w:rFonts w:ascii="Times New Roman" w:eastAsia="Times New Roman" w:hAnsi="Times New Roman" w:cs="Times New Roman"/>
          <w:color w:val="4B4B4C"/>
          <w:sz w:val="22"/>
          <w:szCs w:val="22"/>
          <w:lang w:eastAsia="it-IT"/>
        </w:rPr>
        <w:t xml:space="preserve">di </w:t>
      </w:r>
      <w:r w:rsidRPr="00631C46">
        <w:rPr>
          <w:rFonts w:ascii="Times New Roman" w:eastAsia="Times New Roman" w:hAnsi="Times New Roman" w:cs="Times New Roman"/>
          <w:color w:val="4B4B4C"/>
          <w:sz w:val="22"/>
          <w:szCs w:val="22"/>
          <w:lang w:eastAsia="it-IT"/>
        </w:rPr>
        <w:t>piattaforme digitali per facilitare la vendita di crediti</w:t>
      </w:r>
      <w:r>
        <w:rPr>
          <w:rFonts w:ascii="Times New Roman" w:eastAsia="Times New Roman" w:hAnsi="Times New Roman" w:cs="Times New Roman"/>
          <w:color w:val="4B4B4C"/>
          <w:sz w:val="22"/>
          <w:szCs w:val="22"/>
          <w:lang w:eastAsia="it-IT"/>
        </w:rPr>
        <w:t>.</w:t>
      </w:r>
    </w:p>
    <w:p w:rsidR="00E70EAC" w:rsidRDefault="00087694"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Insomma, il mercato del credito deteriorato </w:t>
      </w:r>
      <w:r w:rsidR="00EB3667">
        <w:rPr>
          <w:rFonts w:ascii="Times New Roman" w:eastAsia="Times New Roman" w:hAnsi="Times New Roman" w:cs="Times New Roman"/>
          <w:color w:val="4B4B4C"/>
          <w:sz w:val="22"/>
          <w:szCs w:val="22"/>
          <w:lang w:eastAsia="it-IT"/>
        </w:rPr>
        <w:t xml:space="preserve">ha ormai acquisito struttura e consistenza stabili. Diversamente da quanto </w:t>
      </w:r>
      <w:r w:rsidR="007D5366">
        <w:rPr>
          <w:rFonts w:ascii="Times New Roman" w:eastAsia="Times New Roman" w:hAnsi="Times New Roman" w:cs="Times New Roman"/>
          <w:color w:val="4B4B4C"/>
          <w:sz w:val="22"/>
          <w:szCs w:val="22"/>
          <w:lang w:eastAsia="it-IT"/>
        </w:rPr>
        <w:t>taluni hanno inizialmente ritenuto</w:t>
      </w:r>
      <w:r w:rsidR="00EB3667">
        <w:rPr>
          <w:rFonts w:ascii="Times New Roman" w:eastAsia="Times New Roman" w:hAnsi="Times New Roman" w:cs="Times New Roman"/>
          <w:color w:val="4B4B4C"/>
          <w:sz w:val="22"/>
          <w:szCs w:val="22"/>
          <w:lang w:eastAsia="it-IT"/>
        </w:rPr>
        <w:t>, non si è trattato di un fenomeno contingente, alimentato dalla necessità delle banche di mettere a posto i propri bilanci per allinearsi con le direttive dell</w:t>
      </w:r>
      <w:r w:rsidR="00501E32">
        <w:rPr>
          <w:rFonts w:ascii="Times New Roman" w:eastAsia="Times New Roman" w:hAnsi="Times New Roman" w:cs="Times New Roman"/>
          <w:color w:val="4B4B4C"/>
          <w:sz w:val="22"/>
          <w:szCs w:val="22"/>
          <w:lang w:eastAsia="it-IT"/>
        </w:rPr>
        <w:t>’</w:t>
      </w:r>
      <w:r w:rsidR="00EB3667">
        <w:rPr>
          <w:rFonts w:ascii="Times New Roman" w:eastAsia="Times New Roman" w:hAnsi="Times New Roman" w:cs="Times New Roman"/>
          <w:color w:val="4B4B4C"/>
          <w:sz w:val="22"/>
          <w:szCs w:val="22"/>
          <w:lang w:eastAsia="it-IT"/>
        </w:rPr>
        <w:t xml:space="preserve">autorità regolatrice nazionale o europea. Al contrario, il flusso di crediti deteriorato risulta costantemente alimentato dalla politica di </w:t>
      </w:r>
      <w:r w:rsidR="00EB3667" w:rsidRPr="00EB3667">
        <w:rPr>
          <w:rFonts w:ascii="Times New Roman" w:eastAsia="Times New Roman" w:hAnsi="Times New Roman" w:cs="Times New Roman"/>
          <w:i/>
          <w:iCs/>
          <w:color w:val="4B4B4C"/>
          <w:sz w:val="22"/>
          <w:szCs w:val="22"/>
          <w:lang w:eastAsia="it-IT"/>
        </w:rPr>
        <w:t>de-</w:t>
      </w:r>
      <w:proofErr w:type="spellStart"/>
      <w:r w:rsidR="00EB3667" w:rsidRPr="00EB3667">
        <w:rPr>
          <w:rFonts w:ascii="Times New Roman" w:eastAsia="Times New Roman" w:hAnsi="Times New Roman" w:cs="Times New Roman"/>
          <w:i/>
          <w:iCs/>
          <w:color w:val="4B4B4C"/>
          <w:sz w:val="22"/>
          <w:szCs w:val="22"/>
          <w:lang w:eastAsia="it-IT"/>
        </w:rPr>
        <w:t>risking</w:t>
      </w:r>
      <w:proofErr w:type="spellEnd"/>
      <w:r w:rsidR="00EB3667">
        <w:rPr>
          <w:rFonts w:ascii="Times New Roman" w:eastAsia="Times New Roman" w:hAnsi="Times New Roman" w:cs="Times New Roman"/>
          <w:color w:val="4B4B4C"/>
          <w:sz w:val="22"/>
          <w:szCs w:val="22"/>
          <w:lang w:eastAsia="it-IT"/>
        </w:rPr>
        <w:t xml:space="preserve"> delle banche</w:t>
      </w:r>
      <w:r w:rsidR="000837AC">
        <w:rPr>
          <w:rFonts w:ascii="Times New Roman" w:eastAsia="Times New Roman" w:hAnsi="Times New Roman" w:cs="Times New Roman"/>
          <w:color w:val="4B4B4C"/>
          <w:sz w:val="22"/>
          <w:szCs w:val="22"/>
          <w:lang w:eastAsia="it-IT"/>
        </w:rPr>
        <w:t>, le quali oramai dismettono non solo NPL (</w:t>
      </w:r>
      <w:proofErr w:type="spellStart"/>
      <w:r w:rsidR="000837AC" w:rsidRPr="000837AC">
        <w:rPr>
          <w:rFonts w:ascii="Times New Roman" w:eastAsia="Times New Roman" w:hAnsi="Times New Roman" w:cs="Times New Roman"/>
          <w:i/>
          <w:iCs/>
          <w:color w:val="4B4B4C"/>
          <w:sz w:val="22"/>
          <w:szCs w:val="22"/>
          <w:lang w:eastAsia="it-IT"/>
        </w:rPr>
        <w:t>secured</w:t>
      </w:r>
      <w:proofErr w:type="spellEnd"/>
      <w:r w:rsidR="000837AC">
        <w:rPr>
          <w:rFonts w:ascii="Times New Roman" w:eastAsia="Times New Roman" w:hAnsi="Times New Roman" w:cs="Times New Roman"/>
          <w:color w:val="4B4B4C"/>
          <w:sz w:val="22"/>
          <w:szCs w:val="22"/>
          <w:lang w:eastAsia="it-IT"/>
        </w:rPr>
        <w:t xml:space="preserve"> e </w:t>
      </w:r>
      <w:proofErr w:type="spellStart"/>
      <w:r w:rsidR="000837AC" w:rsidRPr="000837AC">
        <w:rPr>
          <w:rFonts w:ascii="Times New Roman" w:eastAsia="Times New Roman" w:hAnsi="Times New Roman" w:cs="Times New Roman"/>
          <w:i/>
          <w:iCs/>
          <w:color w:val="4B4B4C"/>
          <w:sz w:val="22"/>
          <w:szCs w:val="22"/>
          <w:lang w:eastAsia="it-IT"/>
        </w:rPr>
        <w:t>unsecured</w:t>
      </w:r>
      <w:proofErr w:type="spellEnd"/>
      <w:r w:rsidR="00776905">
        <w:rPr>
          <w:rFonts w:ascii="Times New Roman" w:eastAsia="Times New Roman" w:hAnsi="Times New Roman" w:cs="Times New Roman"/>
          <w:color w:val="4B4B4C"/>
          <w:sz w:val="22"/>
          <w:szCs w:val="22"/>
          <w:lang w:eastAsia="it-IT"/>
        </w:rPr>
        <w:t>, vale a dire garantiti o chirografari</w:t>
      </w:r>
      <w:r w:rsidR="000837AC">
        <w:rPr>
          <w:rFonts w:ascii="Times New Roman" w:eastAsia="Times New Roman" w:hAnsi="Times New Roman" w:cs="Times New Roman"/>
          <w:color w:val="4B4B4C"/>
          <w:sz w:val="22"/>
          <w:szCs w:val="22"/>
          <w:lang w:eastAsia="it-IT"/>
        </w:rPr>
        <w:t>), ma anche i crediti “incagliati”, ora più usualmente indicati come UTP</w:t>
      </w:r>
      <w:r w:rsidR="00776905">
        <w:rPr>
          <w:rFonts w:ascii="Times New Roman" w:eastAsia="Times New Roman" w:hAnsi="Times New Roman" w:cs="Times New Roman"/>
          <w:color w:val="4B4B4C"/>
          <w:sz w:val="22"/>
          <w:szCs w:val="22"/>
          <w:lang w:eastAsia="it-IT"/>
        </w:rPr>
        <w:t xml:space="preserve"> (</w:t>
      </w:r>
      <w:proofErr w:type="spellStart"/>
      <w:r w:rsidR="00776905" w:rsidRPr="00035818">
        <w:rPr>
          <w:rFonts w:ascii="Times New Roman" w:eastAsia="Times New Roman" w:hAnsi="Times New Roman" w:cs="Times New Roman"/>
          <w:i/>
          <w:iCs/>
          <w:color w:val="4B4B4C"/>
          <w:sz w:val="22"/>
          <w:szCs w:val="22"/>
          <w:lang w:eastAsia="it-IT"/>
        </w:rPr>
        <w:t>Unlikely</w:t>
      </w:r>
      <w:proofErr w:type="spellEnd"/>
      <w:r w:rsidR="00776905" w:rsidRPr="00035818">
        <w:rPr>
          <w:rFonts w:ascii="Times New Roman" w:eastAsia="Times New Roman" w:hAnsi="Times New Roman" w:cs="Times New Roman"/>
          <w:i/>
          <w:iCs/>
          <w:color w:val="4B4B4C"/>
          <w:sz w:val="22"/>
          <w:szCs w:val="22"/>
          <w:lang w:eastAsia="it-IT"/>
        </w:rPr>
        <w:t xml:space="preserve"> To </w:t>
      </w:r>
      <w:proofErr w:type="spellStart"/>
      <w:r w:rsidR="00776905" w:rsidRPr="00035818">
        <w:rPr>
          <w:rFonts w:ascii="Times New Roman" w:eastAsia="Times New Roman" w:hAnsi="Times New Roman" w:cs="Times New Roman"/>
          <w:i/>
          <w:iCs/>
          <w:color w:val="4B4B4C"/>
          <w:sz w:val="22"/>
          <w:szCs w:val="22"/>
          <w:lang w:eastAsia="it-IT"/>
        </w:rPr>
        <w:t>Pay</w:t>
      </w:r>
      <w:proofErr w:type="spellEnd"/>
      <w:r w:rsidR="00776905">
        <w:rPr>
          <w:rFonts w:ascii="Times New Roman" w:eastAsia="Times New Roman" w:hAnsi="Times New Roman" w:cs="Times New Roman"/>
          <w:color w:val="4B4B4C"/>
          <w:sz w:val="22"/>
          <w:szCs w:val="22"/>
          <w:lang w:eastAsia="it-IT"/>
        </w:rPr>
        <w:t>)</w:t>
      </w:r>
      <w:r w:rsidR="000837AC">
        <w:rPr>
          <w:rFonts w:ascii="Times New Roman" w:eastAsia="Times New Roman" w:hAnsi="Times New Roman" w:cs="Times New Roman"/>
          <w:color w:val="4B4B4C"/>
          <w:sz w:val="22"/>
          <w:szCs w:val="22"/>
          <w:lang w:eastAsia="it-IT"/>
        </w:rPr>
        <w:t>. Il mercato degli NPL è divenuto il mercato degli NPE</w:t>
      </w:r>
      <w:r w:rsidR="00776905">
        <w:rPr>
          <w:rFonts w:ascii="Times New Roman" w:eastAsia="Times New Roman" w:hAnsi="Times New Roman" w:cs="Times New Roman"/>
          <w:color w:val="4B4B4C"/>
          <w:sz w:val="22"/>
          <w:szCs w:val="22"/>
          <w:lang w:eastAsia="it-IT"/>
        </w:rPr>
        <w:t xml:space="preserve"> (</w:t>
      </w:r>
      <w:r w:rsidR="00776905" w:rsidRPr="00035818">
        <w:rPr>
          <w:rFonts w:ascii="Times New Roman" w:eastAsia="Times New Roman" w:hAnsi="Times New Roman" w:cs="Times New Roman"/>
          <w:i/>
          <w:iCs/>
          <w:color w:val="4B4B4C"/>
          <w:sz w:val="22"/>
          <w:szCs w:val="22"/>
          <w:lang w:eastAsia="it-IT"/>
        </w:rPr>
        <w:t xml:space="preserve">Non </w:t>
      </w:r>
      <w:proofErr w:type="spellStart"/>
      <w:r w:rsidR="00776905" w:rsidRPr="00035818">
        <w:rPr>
          <w:rFonts w:ascii="Times New Roman" w:eastAsia="Times New Roman" w:hAnsi="Times New Roman" w:cs="Times New Roman"/>
          <w:i/>
          <w:iCs/>
          <w:color w:val="4B4B4C"/>
          <w:sz w:val="22"/>
          <w:szCs w:val="22"/>
          <w:lang w:eastAsia="it-IT"/>
        </w:rPr>
        <w:t>Performing</w:t>
      </w:r>
      <w:proofErr w:type="spellEnd"/>
      <w:r w:rsidR="00776905" w:rsidRPr="00035818">
        <w:rPr>
          <w:rFonts w:ascii="Times New Roman" w:eastAsia="Times New Roman" w:hAnsi="Times New Roman" w:cs="Times New Roman"/>
          <w:i/>
          <w:iCs/>
          <w:color w:val="4B4B4C"/>
          <w:sz w:val="22"/>
          <w:szCs w:val="22"/>
          <w:lang w:eastAsia="it-IT"/>
        </w:rPr>
        <w:t xml:space="preserve"> </w:t>
      </w:r>
      <w:proofErr w:type="spellStart"/>
      <w:r w:rsidR="00776905" w:rsidRPr="00035818">
        <w:rPr>
          <w:rFonts w:ascii="Times New Roman" w:eastAsia="Times New Roman" w:hAnsi="Times New Roman" w:cs="Times New Roman"/>
          <w:i/>
          <w:iCs/>
          <w:color w:val="4B4B4C"/>
          <w:sz w:val="22"/>
          <w:szCs w:val="22"/>
          <w:lang w:eastAsia="it-IT"/>
        </w:rPr>
        <w:t>Exposures</w:t>
      </w:r>
      <w:proofErr w:type="spellEnd"/>
      <w:r w:rsidR="00776905">
        <w:rPr>
          <w:rFonts w:ascii="Times New Roman" w:eastAsia="Times New Roman" w:hAnsi="Times New Roman" w:cs="Times New Roman"/>
          <w:color w:val="4B4B4C"/>
          <w:sz w:val="22"/>
          <w:szCs w:val="22"/>
          <w:lang w:eastAsia="it-IT"/>
        </w:rPr>
        <w:t>)</w:t>
      </w:r>
      <w:r w:rsidR="000837AC">
        <w:rPr>
          <w:rFonts w:ascii="Times New Roman" w:eastAsia="Times New Roman" w:hAnsi="Times New Roman" w:cs="Times New Roman"/>
          <w:color w:val="4B4B4C"/>
          <w:sz w:val="22"/>
          <w:szCs w:val="22"/>
          <w:lang w:eastAsia="it-IT"/>
        </w:rPr>
        <w:t xml:space="preserve">, la cui </w:t>
      </w:r>
      <w:r w:rsidR="00EB3667">
        <w:rPr>
          <w:rFonts w:ascii="Times New Roman" w:eastAsia="Times New Roman" w:hAnsi="Times New Roman" w:cs="Times New Roman"/>
          <w:color w:val="4B4B4C"/>
          <w:sz w:val="22"/>
          <w:szCs w:val="22"/>
          <w:lang w:eastAsia="it-IT"/>
        </w:rPr>
        <w:t xml:space="preserve">dinamicità è </w:t>
      </w:r>
      <w:r w:rsidR="000837AC">
        <w:rPr>
          <w:rFonts w:ascii="Times New Roman" w:eastAsia="Times New Roman" w:hAnsi="Times New Roman" w:cs="Times New Roman"/>
          <w:color w:val="4B4B4C"/>
          <w:sz w:val="22"/>
          <w:szCs w:val="22"/>
          <w:lang w:eastAsia="it-IT"/>
        </w:rPr>
        <w:t xml:space="preserve">altresì </w:t>
      </w:r>
      <w:r w:rsidR="00EB3667">
        <w:rPr>
          <w:rFonts w:ascii="Times New Roman" w:eastAsia="Times New Roman" w:hAnsi="Times New Roman" w:cs="Times New Roman"/>
          <w:color w:val="4B4B4C"/>
          <w:sz w:val="22"/>
          <w:szCs w:val="22"/>
          <w:lang w:eastAsia="it-IT"/>
        </w:rPr>
        <w:t>accent</w:t>
      </w:r>
      <w:r w:rsidR="000837AC">
        <w:rPr>
          <w:rFonts w:ascii="Times New Roman" w:eastAsia="Times New Roman" w:hAnsi="Times New Roman" w:cs="Times New Roman"/>
          <w:color w:val="4B4B4C"/>
          <w:sz w:val="22"/>
          <w:szCs w:val="22"/>
          <w:lang w:eastAsia="it-IT"/>
        </w:rPr>
        <w:t>u</w:t>
      </w:r>
      <w:r w:rsidR="00EB3667">
        <w:rPr>
          <w:rFonts w:ascii="Times New Roman" w:eastAsia="Times New Roman" w:hAnsi="Times New Roman" w:cs="Times New Roman"/>
          <w:color w:val="4B4B4C"/>
          <w:sz w:val="22"/>
          <w:szCs w:val="22"/>
          <w:lang w:eastAsia="it-IT"/>
        </w:rPr>
        <w:t>ata dalla considerevole consistenza delle transazioni di mercato secondario.</w:t>
      </w:r>
      <w:r w:rsidR="00E70EAC">
        <w:rPr>
          <w:rFonts w:ascii="Times New Roman" w:eastAsia="Times New Roman" w:hAnsi="Times New Roman" w:cs="Times New Roman"/>
          <w:color w:val="4B4B4C"/>
          <w:sz w:val="22"/>
          <w:szCs w:val="22"/>
          <w:lang w:eastAsia="it-IT"/>
        </w:rPr>
        <w:t xml:space="preserve"> Nel complesso, dal 2015 al 2022 sono stati ceduti portafogli NPE per un valore complessivo di 357 miliardi di euro. </w:t>
      </w:r>
    </w:p>
    <w:p w:rsidR="000837AC" w:rsidRDefault="00E70EAC"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C</w:t>
      </w:r>
      <w:r w:rsidR="00EB3667">
        <w:rPr>
          <w:rFonts w:ascii="Times New Roman" w:eastAsia="Times New Roman" w:hAnsi="Times New Roman" w:cs="Times New Roman"/>
          <w:color w:val="4B4B4C"/>
          <w:sz w:val="22"/>
          <w:szCs w:val="22"/>
          <w:lang w:eastAsia="it-IT"/>
        </w:rPr>
        <w:t xml:space="preserve">orrelativamente ad un mercato del credito deteriorato, </w:t>
      </w:r>
      <w:r w:rsidR="000837AC">
        <w:rPr>
          <w:rFonts w:ascii="Times New Roman" w:eastAsia="Times New Roman" w:hAnsi="Times New Roman" w:cs="Times New Roman"/>
          <w:color w:val="4B4B4C"/>
          <w:sz w:val="22"/>
          <w:szCs w:val="22"/>
          <w:lang w:eastAsia="it-IT"/>
        </w:rPr>
        <w:t>esiste un</w:t>
      </w:r>
      <w:r w:rsidR="00501E32">
        <w:rPr>
          <w:rFonts w:ascii="Times New Roman" w:eastAsia="Times New Roman" w:hAnsi="Times New Roman" w:cs="Times New Roman"/>
          <w:color w:val="4B4B4C"/>
          <w:sz w:val="22"/>
          <w:szCs w:val="22"/>
          <w:lang w:eastAsia="it-IT"/>
        </w:rPr>
        <w:t>’</w:t>
      </w:r>
      <w:r w:rsidR="000837AC">
        <w:rPr>
          <w:rFonts w:ascii="Times New Roman" w:eastAsia="Times New Roman" w:hAnsi="Times New Roman" w:cs="Times New Roman"/>
          <w:color w:val="4B4B4C"/>
          <w:sz w:val="22"/>
          <w:szCs w:val="22"/>
          <w:lang w:eastAsia="it-IT"/>
        </w:rPr>
        <w:t xml:space="preserve">industria del credito deteriorato. Ne fanno parte i </w:t>
      </w:r>
      <w:r w:rsidR="000837AC" w:rsidRPr="000837AC">
        <w:rPr>
          <w:rFonts w:ascii="Times New Roman" w:eastAsia="Times New Roman" w:hAnsi="Times New Roman" w:cs="Times New Roman"/>
          <w:i/>
          <w:iCs/>
          <w:color w:val="4B4B4C"/>
          <w:sz w:val="22"/>
          <w:szCs w:val="22"/>
          <w:lang w:eastAsia="it-IT"/>
        </w:rPr>
        <w:t>servicer</w:t>
      </w:r>
      <w:r w:rsidR="000837AC">
        <w:rPr>
          <w:rFonts w:ascii="Times New Roman" w:eastAsia="Times New Roman" w:hAnsi="Times New Roman" w:cs="Times New Roman"/>
          <w:color w:val="4B4B4C"/>
          <w:sz w:val="22"/>
          <w:szCs w:val="22"/>
          <w:lang w:eastAsia="it-IT"/>
        </w:rPr>
        <w:t xml:space="preserve"> e gli investitori, </w:t>
      </w:r>
      <w:r w:rsidR="001D56B7">
        <w:rPr>
          <w:rFonts w:ascii="Times New Roman" w:eastAsia="Times New Roman" w:hAnsi="Times New Roman" w:cs="Times New Roman"/>
          <w:color w:val="4B4B4C"/>
          <w:sz w:val="22"/>
          <w:szCs w:val="22"/>
          <w:lang w:eastAsia="it-IT"/>
        </w:rPr>
        <w:t>i quali</w:t>
      </w:r>
      <w:r w:rsidR="000837AC">
        <w:rPr>
          <w:rFonts w:ascii="Times New Roman" w:eastAsia="Times New Roman" w:hAnsi="Times New Roman" w:cs="Times New Roman"/>
          <w:color w:val="4B4B4C"/>
          <w:sz w:val="22"/>
          <w:szCs w:val="22"/>
          <w:lang w:eastAsia="it-IT"/>
        </w:rPr>
        <w:t xml:space="preserve"> hanno impiegato circa 90 miliardi di euro in sette anni per acquisire i portafogli nel mercato primario e secondario</w:t>
      </w:r>
      <w:r>
        <w:rPr>
          <w:rFonts w:ascii="Times New Roman" w:eastAsia="Times New Roman" w:hAnsi="Times New Roman" w:cs="Times New Roman"/>
          <w:color w:val="4B4B4C"/>
          <w:sz w:val="22"/>
          <w:szCs w:val="22"/>
          <w:lang w:eastAsia="it-IT"/>
        </w:rPr>
        <w:t>. Si tratta di un</w:t>
      </w:r>
      <w:r w:rsidRPr="00E70EAC">
        <w:rPr>
          <w:rFonts w:ascii="Times New Roman" w:eastAsia="Times New Roman" w:hAnsi="Times New Roman" w:cs="Times New Roman"/>
          <w:color w:val="4B4B4C"/>
          <w:sz w:val="22"/>
          <w:szCs w:val="22"/>
          <w:lang w:eastAsia="it-IT"/>
        </w:rPr>
        <w:t xml:space="preserve"> comparto</w:t>
      </w:r>
      <w:r>
        <w:rPr>
          <w:rFonts w:ascii="Times New Roman" w:eastAsia="Times New Roman" w:hAnsi="Times New Roman" w:cs="Times New Roman"/>
          <w:color w:val="4B4B4C"/>
          <w:sz w:val="22"/>
          <w:szCs w:val="22"/>
          <w:lang w:eastAsia="it-IT"/>
        </w:rPr>
        <w:t>, quello italiano,</w:t>
      </w:r>
      <w:r w:rsidRPr="00E70EAC">
        <w:rPr>
          <w:rFonts w:ascii="Times New Roman" w:eastAsia="Times New Roman" w:hAnsi="Times New Roman" w:cs="Times New Roman"/>
          <w:color w:val="4B4B4C"/>
          <w:sz w:val="22"/>
          <w:szCs w:val="22"/>
          <w:lang w:eastAsia="it-IT"/>
        </w:rPr>
        <w:t xml:space="preserve"> </w:t>
      </w:r>
      <w:r>
        <w:rPr>
          <w:rFonts w:ascii="Times New Roman" w:eastAsia="Times New Roman" w:hAnsi="Times New Roman" w:cs="Times New Roman"/>
          <w:color w:val="4B4B4C"/>
          <w:sz w:val="22"/>
          <w:szCs w:val="22"/>
          <w:lang w:eastAsia="it-IT"/>
        </w:rPr>
        <w:t>che ha conosciuto</w:t>
      </w:r>
      <w:r w:rsidRPr="00E70EAC">
        <w:rPr>
          <w:rFonts w:ascii="Times New Roman" w:eastAsia="Times New Roman" w:hAnsi="Times New Roman" w:cs="Times New Roman"/>
          <w:color w:val="4B4B4C"/>
          <w:sz w:val="22"/>
          <w:szCs w:val="22"/>
          <w:lang w:eastAsia="it-IT"/>
        </w:rPr>
        <w:t xml:space="preserve"> una</w:t>
      </w:r>
      <w:r>
        <w:rPr>
          <w:rFonts w:ascii="Times New Roman" w:eastAsia="Times New Roman" w:hAnsi="Times New Roman" w:cs="Times New Roman"/>
          <w:color w:val="4B4B4C"/>
          <w:sz w:val="22"/>
          <w:szCs w:val="22"/>
          <w:lang w:eastAsia="it-IT"/>
        </w:rPr>
        <w:t xml:space="preserve"> </w:t>
      </w:r>
      <w:r w:rsidRPr="00E70EAC">
        <w:rPr>
          <w:rFonts w:ascii="Times New Roman" w:eastAsia="Times New Roman" w:hAnsi="Times New Roman" w:cs="Times New Roman"/>
          <w:color w:val="4B4B4C"/>
          <w:sz w:val="22"/>
          <w:szCs w:val="22"/>
          <w:lang w:eastAsia="it-IT"/>
        </w:rPr>
        <w:t>crescita continua dei ricavi (+90% dal 2013 al 2021</w:t>
      </w:r>
      <w:r>
        <w:rPr>
          <w:rFonts w:ascii="Times New Roman" w:eastAsia="Times New Roman" w:hAnsi="Times New Roman" w:cs="Times New Roman"/>
          <w:color w:val="4B4B4C"/>
          <w:sz w:val="22"/>
          <w:szCs w:val="22"/>
          <w:lang w:eastAsia="it-IT"/>
        </w:rPr>
        <w:t xml:space="preserve">) e che ha </w:t>
      </w:r>
      <w:r>
        <w:rPr>
          <w:rFonts w:ascii="Times New Roman" w:eastAsia="Times New Roman" w:hAnsi="Times New Roman" w:cs="Times New Roman"/>
          <w:color w:val="4B4B4C"/>
          <w:sz w:val="22"/>
          <w:szCs w:val="22"/>
          <w:lang w:eastAsia="it-IT"/>
        </w:rPr>
        <w:lastRenderedPageBreak/>
        <w:t xml:space="preserve">effettuato, nel corso degli anni, </w:t>
      </w:r>
      <w:r w:rsidRPr="00E70EAC">
        <w:rPr>
          <w:rFonts w:ascii="Times New Roman" w:eastAsia="Times New Roman" w:hAnsi="Times New Roman" w:cs="Times New Roman"/>
          <w:color w:val="4B4B4C"/>
          <w:sz w:val="22"/>
          <w:szCs w:val="22"/>
          <w:lang w:eastAsia="it-IT"/>
        </w:rPr>
        <w:t>significat</w:t>
      </w:r>
      <w:r>
        <w:rPr>
          <w:rFonts w:ascii="Times New Roman" w:eastAsia="Times New Roman" w:hAnsi="Times New Roman" w:cs="Times New Roman"/>
          <w:color w:val="4B4B4C"/>
          <w:sz w:val="22"/>
          <w:szCs w:val="22"/>
          <w:lang w:eastAsia="it-IT"/>
        </w:rPr>
        <w:t xml:space="preserve">ivi </w:t>
      </w:r>
      <w:r w:rsidRPr="00E70EAC">
        <w:rPr>
          <w:rFonts w:ascii="Times New Roman" w:eastAsia="Times New Roman" w:hAnsi="Times New Roman" w:cs="Times New Roman"/>
          <w:color w:val="4B4B4C"/>
          <w:sz w:val="22"/>
          <w:szCs w:val="22"/>
          <w:lang w:eastAsia="it-IT"/>
        </w:rPr>
        <w:t>investimenti in risorse umane e tecnologia</w:t>
      </w:r>
      <w:r>
        <w:rPr>
          <w:rFonts w:ascii="Times New Roman" w:eastAsia="Times New Roman" w:hAnsi="Times New Roman" w:cs="Times New Roman"/>
          <w:color w:val="4B4B4C"/>
          <w:sz w:val="22"/>
          <w:szCs w:val="22"/>
          <w:lang w:eastAsia="it-IT"/>
        </w:rPr>
        <w:t>. Anche per il 2023 è prevista una crescita dei ricavi (</w:t>
      </w:r>
      <w:r w:rsidRPr="00E70EAC">
        <w:rPr>
          <w:rFonts w:ascii="Times New Roman" w:eastAsia="Times New Roman" w:hAnsi="Times New Roman" w:cs="Times New Roman"/>
          <w:color w:val="4B4B4C"/>
          <w:sz w:val="22"/>
          <w:szCs w:val="22"/>
          <w:lang w:eastAsia="it-IT"/>
        </w:rPr>
        <w:t>+4%</w:t>
      </w:r>
      <w:r>
        <w:rPr>
          <w:rFonts w:ascii="Times New Roman" w:eastAsia="Times New Roman" w:hAnsi="Times New Roman" w:cs="Times New Roman"/>
          <w:color w:val="4B4B4C"/>
          <w:sz w:val="22"/>
          <w:szCs w:val="22"/>
          <w:lang w:eastAsia="it-IT"/>
        </w:rPr>
        <w:t>)</w:t>
      </w:r>
      <w:r w:rsidR="000837AC">
        <w:rPr>
          <w:rStyle w:val="Rimandonotaapidipagina"/>
          <w:rFonts w:ascii="Times New Roman" w:eastAsia="Times New Roman" w:hAnsi="Times New Roman" w:cs="Times New Roman"/>
          <w:color w:val="4B4B4C"/>
          <w:sz w:val="22"/>
          <w:szCs w:val="22"/>
          <w:lang w:eastAsia="it-IT"/>
        </w:rPr>
        <w:footnoteReference w:id="11"/>
      </w:r>
      <w:r w:rsidR="000837AC">
        <w:rPr>
          <w:rFonts w:ascii="Times New Roman" w:eastAsia="Times New Roman" w:hAnsi="Times New Roman" w:cs="Times New Roman"/>
          <w:color w:val="4B4B4C"/>
          <w:sz w:val="22"/>
          <w:szCs w:val="22"/>
          <w:lang w:eastAsia="it-IT"/>
        </w:rPr>
        <w:t>.</w:t>
      </w:r>
    </w:p>
    <w:p w:rsidR="0074725F" w:rsidRDefault="0074725F" w:rsidP="00B106E0">
      <w:pPr>
        <w:spacing w:line="360" w:lineRule="auto"/>
        <w:jc w:val="both"/>
        <w:rPr>
          <w:rFonts w:ascii="Times New Roman" w:eastAsia="Times New Roman" w:hAnsi="Times New Roman" w:cs="Times New Roman"/>
          <w:color w:val="4B4B4C"/>
          <w:sz w:val="22"/>
          <w:szCs w:val="22"/>
          <w:lang w:eastAsia="it-IT"/>
        </w:rPr>
      </w:pPr>
    </w:p>
    <w:p w:rsidR="0074725F" w:rsidRDefault="0074725F" w:rsidP="00B106E0">
      <w:pPr>
        <w:spacing w:line="360" w:lineRule="auto"/>
        <w:jc w:val="both"/>
        <w:rPr>
          <w:rFonts w:ascii="Times New Roman" w:eastAsia="Times New Roman" w:hAnsi="Times New Roman" w:cs="Times New Roman"/>
          <w:color w:val="4B4B4C"/>
          <w:sz w:val="22"/>
          <w:szCs w:val="22"/>
          <w:lang w:eastAsia="it-IT"/>
        </w:rPr>
      </w:pPr>
    </w:p>
    <w:p w:rsidR="00087694" w:rsidRPr="00AB6935" w:rsidRDefault="00087694" w:rsidP="00B106E0">
      <w:pPr>
        <w:keepNext/>
        <w:widowControl w:val="0"/>
        <w:spacing w:after="240" w:line="360" w:lineRule="auto"/>
        <w:jc w:val="both"/>
        <w:rPr>
          <w:rFonts w:ascii="Times New Roman" w:hAnsi="Times New Roman" w:cs="Times New Roman"/>
          <w:i/>
          <w:iCs/>
          <w:sz w:val="22"/>
          <w:szCs w:val="22"/>
        </w:rPr>
      </w:pPr>
      <w:r>
        <w:rPr>
          <w:rFonts w:ascii="Times New Roman" w:hAnsi="Times New Roman" w:cs="Times New Roman"/>
          <w:i/>
          <w:iCs/>
          <w:sz w:val="22"/>
          <w:szCs w:val="22"/>
        </w:rPr>
        <w:t>2</w:t>
      </w:r>
      <w:r w:rsidRPr="00AB6935">
        <w:rPr>
          <w:rFonts w:ascii="Times New Roman" w:hAnsi="Times New Roman" w:cs="Times New Roman"/>
          <w:i/>
          <w:iCs/>
          <w:sz w:val="22"/>
          <w:szCs w:val="22"/>
        </w:rPr>
        <w:t xml:space="preserve">. </w:t>
      </w:r>
      <w:r w:rsidR="00776905">
        <w:rPr>
          <w:rFonts w:ascii="Times New Roman" w:hAnsi="Times New Roman" w:cs="Times New Roman"/>
          <w:i/>
          <w:iCs/>
          <w:sz w:val="22"/>
          <w:szCs w:val="22"/>
        </w:rPr>
        <w:t xml:space="preserve">Scopo pratico della negoziazione dei crediti deteriorati e dinamiche di </w:t>
      </w:r>
      <w:r>
        <w:rPr>
          <w:rFonts w:ascii="Times New Roman" w:hAnsi="Times New Roman" w:cs="Times New Roman"/>
          <w:i/>
          <w:iCs/>
          <w:sz w:val="22"/>
          <w:szCs w:val="22"/>
        </w:rPr>
        <w:t>mercato</w:t>
      </w:r>
    </w:p>
    <w:p w:rsidR="0022582D" w:rsidRDefault="00B6214B"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I valori innanzi illustrati </w:t>
      </w:r>
      <w:r w:rsidR="00C47B40">
        <w:rPr>
          <w:rFonts w:ascii="Times New Roman" w:eastAsia="Times New Roman" w:hAnsi="Times New Roman" w:cs="Times New Roman"/>
          <w:color w:val="4B4B4C"/>
          <w:sz w:val="22"/>
          <w:szCs w:val="22"/>
          <w:lang w:eastAsia="it-IT"/>
        </w:rPr>
        <w:t>d</w:t>
      </w:r>
      <w:r w:rsidR="00C47B40" w:rsidRPr="00C47B40">
        <w:rPr>
          <w:rFonts w:ascii="Times New Roman" w:eastAsia="Times New Roman" w:hAnsi="Times New Roman" w:cs="Times New Roman"/>
          <w:color w:val="4B4B4C"/>
          <w:sz w:val="22"/>
          <w:szCs w:val="22"/>
          <w:lang w:eastAsia="it-IT"/>
        </w:rPr>
        <w:t>enunciano l</w:t>
      </w:r>
      <w:r w:rsidR="00501E32">
        <w:rPr>
          <w:rFonts w:ascii="Times New Roman" w:eastAsia="Times New Roman" w:hAnsi="Times New Roman" w:cs="Times New Roman"/>
          <w:color w:val="4B4B4C"/>
          <w:sz w:val="22"/>
          <w:szCs w:val="22"/>
          <w:lang w:eastAsia="it-IT"/>
        </w:rPr>
        <w:t>’</w:t>
      </w:r>
      <w:r w:rsidR="00C47B40" w:rsidRPr="00C47B40">
        <w:rPr>
          <w:rFonts w:ascii="Times New Roman" w:eastAsia="Times New Roman" w:hAnsi="Times New Roman" w:cs="Times New Roman"/>
          <w:color w:val="4B4B4C"/>
          <w:sz w:val="22"/>
          <w:szCs w:val="22"/>
          <w:lang w:eastAsia="it-IT"/>
        </w:rPr>
        <w:t>insufficienza d</w:t>
      </w:r>
      <w:r w:rsidR="00C47B40">
        <w:rPr>
          <w:rFonts w:ascii="Times New Roman" w:eastAsia="Times New Roman" w:hAnsi="Times New Roman" w:cs="Times New Roman"/>
          <w:color w:val="4B4B4C"/>
          <w:sz w:val="22"/>
          <w:szCs w:val="22"/>
          <w:lang w:eastAsia="it-IT"/>
        </w:rPr>
        <w:t xml:space="preserve">i un </w:t>
      </w:r>
      <w:r w:rsidR="00C47B40" w:rsidRPr="00C47B40">
        <w:rPr>
          <w:rFonts w:ascii="Times New Roman" w:eastAsia="Times New Roman" w:hAnsi="Times New Roman" w:cs="Times New Roman"/>
          <w:color w:val="4B4B4C"/>
          <w:sz w:val="22"/>
          <w:szCs w:val="22"/>
          <w:lang w:eastAsia="it-IT"/>
        </w:rPr>
        <w:t>approccio giuridico al tema limitato all</w:t>
      </w:r>
      <w:r w:rsidR="00501E32">
        <w:rPr>
          <w:rFonts w:ascii="Times New Roman" w:eastAsia="Times New Roman" w:hAnsi="Times New Roman" w:cs="Times New Roman"/>
          <w:color w:val="4B4B4C"/>
          <w:sz w:val="22"/>
          <w:szCs w:val="22"/>
          <w:lang w:eastAsia="it-IT"/>
        </w:rPr>
        <w:t>’</w:t>
      </w:r>
      <w:r w:rsidR="00C47B40" w:rsidRPr="00C47B40">
        <w:rPr>
          <w:rFonts w:ascii="Times New Roman" w:eastAsia="Times New Roman" w:hAnsi="Times New Roman" w:cs="Times New Roman"/>
          <w:color w:val="4B4B4C"/>
          <w:sz w:val="22"/>
          <w:szCs w:val="22"/>
          <w:lang w:eastAsia="it-IT"/>
        </w:rPr>
        <w:t xml:space="preserve">esame delle </w:t>
      </w:r>
      <w:r w:rsidR="00C47B40">
        <w:rPr>
          <w:rFonts w:ascii="Times New Roman" w:eastAsia="Times New Roman" w:hAnsi="Times New Roman" w:cs="Times New Roman"/>
          <w:color w:val="4B4B4C"/>
          <w:sz w:val="22"/>
          <w:szCs w:val="22"/>
          <w:lang w:eastAsia="it-IT"/>
        </w:rPr>
        <w:t>“</w:t>
      </w:r>
      <w:r w:rsidR="00C47B40" w:rsidRPr="00C47B40">
        <w:rPr>
          <w:rFonts w:ascii="Times New Roman" w:eastAsia="Times New Roman" w:hAnsi="Times New Roman" w:cs="Times New Roman"/>
          <w:color w:val="4B4B4C"/>
          <w:sz w:val="22"/>
          <w:szCs w:val="22"/>
          <w:lang w:eastAsia="it-IT"/>
        </w:rPr>
        <w:t>transazioni</w:t>
      </w:r>
      <w:r w:rsidR="00C47B40">
        <w:rPr>
          <w:rFonts w:ascii="Times New Roman" w:eastAsia="Times New Roman" w:hAnsi="Times New Roman" w:cs="Times New Roman"/>
          <w:color w:val="4B4B4C"/>
          <w:sz w:val="22"/>
          <w:szCs w:val="22"/>
          <w:lang w:eastAsia="it-IT"/>
        </w:rPr>
        <w:t>”</w:t>
      </w:r>
      <w:r w:rsidR="00C47B40" w:rsidRPr="00C47B40">
        <w:rPr>
          <w:rFonts w:ascii="Times New Roman" w:eastAsia="Times New Roman" w:hAnsi="Times New Roman" w:cs="Times New Roman"/>
          <w:color w:val="4B4B4C"/>
          <w:sz w:val="22"/>
          <w:szCs w:val="22"/>
          <w:lang w:eastAsia="it-IT"/>
        </w:rPr>
        <w:t xml:space="preserve"> </w:t>
      </w:r>
      <w:r w:rsidR="001D35C2">
        <w:rPr>
          <w:rFonts w:ascii="Times New Roman" w:eastAsia="Times New Roman" w:hAnsi="Times New Roman" w:cs="Times New Roman"/>
          <w:color w:val="4B4B4C"/>
          <w:sz w:val="22"/>
          <w:szCs w:val="22"/>
          <w:lang w:eastAsia="it-IT"/>
        </w:rPr>
        <w:t>quali</w:t>
      </w:r>
      <w:r w:rsidR="00C47B40" w:rsidRPr="00C47B40">
        <w:rPr>
          <w:rFonts w:ascii="Times New Roman" w:eastAsia="Times New Roman" w:hAnsi="Times New Roman" w:cs="Times New Roman"/>
          <w:color w:val="4B4B4C"/>
          <w:sz w:val="22"/>
          <w:szCs w:val="22"/>
          <w:lang w:eastAsia="it-IT"/>
        </w:rPr>
        <w:t xml:space="preserve"> </w:t>
      </w:r>
      <w:r w:rsidR="001D35C2">
        <w:rPr>
          <w:rFonts w:ascii="Times New Roman" w:eastAsia="Times New Roman" w:hAnsi="Times New Roman" w:cs="Times New Roman"/>
          <w:color w:val="4B4B4C"/>
          <w:sz w:val="22"/>
          <w:szCs w:val="22"/>
          <w:lang w:eastAsia="it-IT"/>
        </w:rPr>
        <w:t>relazioni negoziali isolate fra contraenti occasionali</w:t>
      </w:r>
      <w:r w:rsidR="00C47B40">
        <w:rPr>
          <w:rStyle w:val="Rimandonotaapidipagina"/>
          <w:rFonts w:ascii="Times New Roman" w:eastAsia="Times New Roman" w:hAnsi="Times New Roman" w:cs="Times New Roman"/>
          <w:color w:val="4B4B4C"/>
          <w:sz w:val="22"/>
          <w:szCs w:val="22"/>
          <w:lang w:eastAsia="it-IT"/>
        </w:rPr>
        <w:footnoteReference w:id="12"/>
      </w:r>
      <w:r w:rsidR="00C47B40">
        <w:rPr>
          <w:rFonts w:ascii="Times New Roman" w:eastAsia="Times New Roman" w:hAnsi="Times New Roman" w:cs="Times New Roman"/>
          <w:color w:val="4B4B4C"/>
          <w:sz w:val="22"/>
          <w:szCs w:val="22"/>
          <w:lang w:eastAsia="it-IT"/>
        </w:rPr>
        <w:t>.</w:t>
      </w:r>
      <w:r w:rsidR="0063347B">
        <w:rPr>
          <w:rFonts w:ascii="Times New Roman" w:eastAsia="Times New Roman" w:hAnsi="Times New Roman" w:cs="Times New Roman"/>
          <w:color w:val="4B4B4C"/>
          <w:sz w:val="22"/>
          <w:szCs w:val="22"/>
          <w:lang w:eastAsia="it-IT"/>
        </w:rPr>
        <w:t xml:space="preserve"> Infatti, una visione atomistica delle vicende </w:t>
      </w:r>
      <w:proofErr w:type="spellStart"/>
      <w:r w:rsidR="0063347B" w:rsidRPr="0063347B">
        <w:rPr>
          <w:rFonts w:ascii="Times New Roman" w:eastAsia="Times New Roman" w:hAnsi="Times New Roman" w:cs="Times New Roman"/>
          <w:i/>
          <w:iCs/>
          <w:color w:val="4B4B4C"/>
          <w:sz w:val="22"/>
          <w:szCs w:val="22"/>
          <w:lang w:eastAsia="it-IT"/>
        </w:rPr>
        <w:t>latu</w:t>
      </w:r>
      <w:proofErr w:type="spellEnd"/>
      <w:r w:rsidR="0063347B" w:rsidRPr="0063347B">
        <w:rPr>
          <w:rFonts w:ascii="Times New Roman" w:eastAsia="Times New Roman" w:hAnsi="Times New Roman" w:cs="Times New Roman"/>
          <w:i/>
          <w:iCs/>
          <w:color w:val="4B4B4C"/>
          <w:sz w:val="22"/>
          <w:szCs w:val="22"/>
          <w:lang w:eastAsia="it-IT"/>
        </w:rPr>
        <w:t xml:space="preserve"> </w:t>
      </w:r>
      <w:proofErr w:type="spellStart"/>
      <w:r w:rsidR="0063347B" w:rsidRPr="0063347B">
        <w:rPr>
          <w:rFonts w:ascii="Times New Roman" w:eastAsia="Times New Roman" w:hAnsi="Times New Roman" w:cs="Times New Roman"/>
          <w:i/>
          <w:iCs/>
          <w:color w:val="4B4B4C"/>
          <w:sz w:val="22"/>
          <w:szCs w:val="22"/>
          <w:lang w:eastAsia="it-IT"/>
        </w:rPr>
        <w:t>sensu</w:t>
      </w:r>
      <w:proofErr w:type="spellEnd"/>
      <w:r w:rsidR="0063347B" w:rsidRPr="0063347B">
        <w:rPr>
          <w:rFonts w:ascii="Times New Roman" w:eastAsia="Times New Roman" w:hAnsi="Times New Roman" w:cs="Times New Roman"/>
          <w:i/>
          <w:iCs/>
          <w:color w:val="4B4B4C"/>
          <w:sz w:val="22"/>
          <w:szCs w:val="22"/>
          <w:lang w:eastAsia="it-IT"/>
        </w:rPr>
        <w:t xml:space="preserve"> </w:t>
      </w:r>
      <w:r w:rsidR="0063347B">
        <w:rPr>
          <w:rFonts w:ascii="Times New Roman" w:eastAsia="Times New Roman" w:hAnsi="Times New Roman" w:cs="Times New Roman"/>
          <w:color w:val="4B4B4C"/>
          <w:sz w:val="22"/>
          <w:szCs w:val="22"/>
          <w:lang w:eastAsia="it-IT"/>
        </w:rPr>
        <w:t>circolatorie dei crediti deteriorati fra operatori professionali non consente di cogliere lo scopo pratico perseguito dalle parti, ossia la causa concreta della negoziazione degli NPE.</w:t>
      </w:r>
    </w:p>
    <w:p w:rsidR="0063347B" w:rsidRDefault="0063347B"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Com</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è noto, la giurisprudenza ha oramai abbracciato – da quasi un ventennio – il concetto di c</w:t>
      </w:r>
      <w:r w:rsidR="0022582D" w:rsidRPr="0022582D">
        <w:rPr>
          <w:rFonts w:ascii="Times New Roman" w:eastAsia="Times New Roman" w:hAnsi="Times New Roman" w:cs="Times New Roman"/>
          <w:color w:val="4B4B4C"/>
          <w:sz w:val="22"/>
          <w:szCs w:val="22"/>
          <w:lang w:eastAsia="it-IT"/>
        </w:rPr>
        <w:t xml:space="preserve">ausa del contratto </w:t>
      </w:r>
      <w:r>
        <w:rPr>
          <w:rFonts w:ascii="Times New Roman" w:eastAsia="Times New Roman" w:hAnsi="Times New Roman" w:cs="Times New Roman"/>
          <w:color w:val="4B4B4C"/>
          <w:sz w:val="22"/>
          <w:szCs w:val="22"/>
          <w:lang w:eastAsia="it-IT"/>
        </w:rPr>
        <w:t>quale “</w:t>
      </w:r>
      <w:r w:rsidR="0022582D" w:rsidRPr="0022582D">
        <w:rPr>
          <w:rFonts w:ascii="Times New Roman" w:eastAsia="Times New Roman" w:hAnsi="Times New Roman" w:cs="Times New Roman"/>
          <w:color w:val="4B4B4C"/>
          <w:sz w:val="22"/>
          <w:szCs w:val="22"/>
          <w:lang w:eastAsia="it-IT"/>
        </w:rPr>
        <w:t>scopo pratico</w:t>
      </w:r>
      <w:r>
        <w:rPr>
          <w:rFonts w:ascii="Times New Roman" w:eastAsia="Times New Roman" w:hAnsi="Times New Roman" w:cs="Times New Roman"/>
          <w:color w:val="4B4B4C"/>
          <w:sz w:val="22"/>
          <w:szCs w:val="22"/>
          <w:lang w:eastAsia="it-IT"/>
        </w:rPr>
        <w:t>”</w:t>
      </w:r>
      <w:r w:rsidR="0022582D" w:rsidRPr="0022582D">
        <w:rPr>
          <w:rFonts w:ascii="Times New Roman" w:eastAsia="Times New Roman" w:hAnsi="Times New Roman" w:cs="Times New Roman"/>
          <w:color w:val="4B4B4C"/>
          <w:sz w:val="22"/>
          <w:szCs w:val="22"/>
          <w:lang w:eastAsia="it-IT"/>
        </w:rPr>
        <w:t xml:space="preserve">, </w:t>
      </w:r>
      <w:r>
        <w:rPr>
          <w:rFonts w:ascii="Times New Roman" w:eastAsia="Times New Roman" w:hAnsi="Times New Roman" w:cs="Times New Roman"/>
          <w:color w:val="4B4B4C"/>
          <w:sz w:val="22"/>
          <w:szCs w:val="22"/>
          <w:lang w:eastAsia="it-IT"/>
        </w:rPr>
        <w:t xml:space="preserve">cioè </w:t>
      </w:r>
      <w:r w:rsidR="0022582D" w:rsidRPr="0022582D">
        <w:rPr>
          <w:rFonts w:ascii="Times New Roman" w:eastAsia="Times New Roman" w:hAnsi="Times New Roman" w:cs="Times New Roman"/>
          <w:color w:val="4B4B4C"/>
          <w:sz w:val="22"/>
          <w:szCs w:val="22"/>
          <w:lang w:eastAsia="it-IT"/>
        </w:rPr>
        <w:t>sintesi</w:t>
      </w:r>
      <w:r>
        <w:rPr>
          <w:rFonts w:ascii="Times New Roman" w:eastAsia="Times New Roman" w:hAnsi="Times New Roman" w:cs="Times New Roman"/>
          <w:color w:val="4B4B4C"/>
          <w:sz w:val="22"/>
          <w:szCs w:val="22"/>
          <w:lang w:eastAsia="it-IT"/>
        </w:rPr>
        <w:t xml:space="preserve"> </w:t>
      </w:r>
      <w:r w:rsidR="0022582D" w:rsidRPr="0022582D">
        <w:rPr>
          <w:rFonts w:ascii="Times New Roman" w:eastAsia="Times New Roman" w:hAnsi="Times New Roman" w:cs="Times New Roman"/>
          <w:color w:val="4B4B4C"/>
          <w:sz w:val="22"/>
          <w:szCs w:val="22"/>
          <w:lang w:eastAsia="it-IT"/>
        </w:rPr>
        <w:t xml:space="preserve">degli interessi che </w:t>
      </w:r>
      <w:r>
        <w:rPr>
          <w:rFonts w:ascii="Times New Roman" w:eastAsia="Times New Roman" w:hAnsi="Times New Roman" w:cs="Times New Roman"/>
          <w:color w:val="4B4B4C"/>
          <w:sz w:val="22"/>
          <w:szCs w:val="22"/>
          <w:lang w:eastAsia="it-IT"/>
        </w:rPr>
        <w:t>il negozio</w:t>
      </w:r>
      <w:r w:rsidR="0022582D" w:rsidRPr="0022582D">
        <w:rPr>
          <w:rFonts w:ascii="Times New Roman" w:eastAsia="Times New Roman" w:hAnsi="Times New Roman" w:cs="Times New Roman"/>
          <w:color w:val="4B4B4C"/>
          <w:sz w:val="22"/>
          <w:szCs w:val="22"/>
          <w:lang w:eastAsia="it-IT"/>
        </w:rPr>
        <w:t xml:space="preserve"> stesso è concretamente diretto a realizzare</w:t>
      </w:r>
      <w:r>
        <w:rPr>
          <w:rFonts w:ascii="Times New Roman" w:eastAsia="Times New Roman" w:hAnsi="Times New Roman" w:cs="Times New Roman"/>
          <w:color w:val="4B4B4C"/>
          <w:sz w:val="22"/>
          <w:szCs w:val="22"/>
          <w:lang w:eastAsia="it-IT"/>
        </w:rPr>
        <w:t xml:space="preserve">. La </w:t>
      </w:r>
      <w:r w:rsidR="0022582D" w:rsidRPr="0022582D">
        <w:rPr>
          <w:rFonts w:ascii="Times New Roman" w:eastAsia="Times New Roman" w:hAnsi="Times New Roman" w:cs="Times New Roman"/>
          <w:color w:val="4B4B4C"/>
          <w:sz w:val="22"/>
          <w:szCs w:val="22"/>
          <w:lang w:eastAsia="it-IT"/>
        </w:rPr>
        <w:t xml:space="preserve">c.d. </w:t>
      </w:r>
      <w:r>
        <w:rPr>
          <w:rFonts w:ascii="Times New Roman" w:eastAsia="Times New Roman" w:hAnsi="Times New Roman" w:cs="Times New Roman"/>
          <w:color w:val="4B4B4C"/>
          <w:sz w:val="22"/>
          <w:szCs w:val="22"/>
          <w:lang w:eastAsia="it-IT"/>
        </w:rPr>
        <w:t>“</w:t>
      </w:r>
      <w:r w:rsidR="0022582D" w:rsidRPr="0022582D">
        <w:rPr>
          <w:rFonts w:ascii="Times New Roman" w:eastAsia="Times New Roman" w:hAnsi="Times New Roman" w:cs="Times New Roman"/>
          <w:color w:val="4B4B4C"/>
          <w:sz w:val="22"/>
          <w:szCs w:val="22"/>
          <w:lang w:eastAsia="it-IT"/>
        </w:rPr>
        <w:t>causa concreta</w:t>
      </w:r>
      <w:r>
        <w:rPr>
          <w:rFonts w:ascii="Times New Roman" w:eastAsia="Times New Roman" w:hAnsi="Times New Roman" w:cs="Times New Roman"/>
          <w:color w:val="4B4B4C"/>
          <w:sz w:val="22"/>
          <w:szCs w:val="22"/>
          <w:lang w:eastAsia="it-IT"/>
        </w:rPr>
        <w:t xml:space="preserve">” è, dunque, la </w:t>
      </w:r>
      <w:r w:rsidR="0022582D" w:rsidRPr="0022582D">
        <w:rPr>
          <w:rFonts w:ascii="Times New Roman" w:eastAsia="Times New Roman" w:hAnsi="Times New Roman" w:cs="Times New Roman"/>
          <w:color w:val="4B4B4C"/>
          <w:sz w:val="22"/>
          <w:szCs w:val="22"/>
          <w:lang w:eastAsia="it-IT"/>
        </w:rPr>
        <w:t>funzione individuale della singola e specifica negoziazione, al di là del modello astratto utilizzato</w:t>
      </w:r>
      <w:r>
        <w:rPr>
          <w:rStyle w:val="Rimandonotaapidipagina"/>
          <w:rFonts w:ascii="Times New Roman" w:eastAsia="Times New Roman" w:hAnsi="Times New Roman" w:cs="Times New Roman"/>
          <w:color w:val="4B4B4C"/>
          <w:sz w:val="22"/>
          <w:szCs w:val="22"/>
          <w:lang w:eastAsia="it-IT"/>
        </w:rPr>
        <w:footnoteReference w:id="13"/>
      </w:r>
      <w:r w:rsidR="0022582D">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 Dunque, abbandonata la </w:t>
      </w:r>
      <w:r w:rsidR="0022582D" w:rsidRPr="0063347B">
        <w:rPr>
          <w:rFonts w:ascii="Times New Roman" w:eastAsia="Times New Roman" w:hAnsi="Times New Roman" w:cs="Times New Roman"/>
          <w:color w:val="4B4B4C"/>
          <w:sz w:val="22"/>
          <w:szCs w:val="22"/>
          <w:lang w:eastAsia="it-IT"/>
        </w:rPr>
        <w:t>matrice ideologica che configura la causa del contratto come strumento di controllo della sua utilità sociale</w:t>
      </w:r>
      <w:r>
        <w:rPr>
          <w:rFonts w:ascii="Times New Roman" w:eastAsia="Times New Roman" w:hAnsi="Times New Roman" w:cs="Times New Roman"/>
          <w:color w:val="4B4B4C"/>
          <w:sz w:val="22"/>
          <w:szCs w:val="22"/>
          <w:lang w:eastAsia="it-IT"/>
        </w:rPr>
        <w:t xml:space="preserve"> e sottoposta a</w:t>
      </w:r>
      <w:r w:rsidR="0022582D" w:rsidRPr="0063347B">
        <w:rPr>
          <w:rFonts w:ascii="Times New Roman" w:eastAsia="Times New Roman" w:hAnsi="Times New Roman" w:cs="Times New Roman"/>
          <w:color w:val="4B4B4C"/>
          <w:sz w:val="22"/>
          <w:szCs w:val="22"/>
          <w:lang w:eastAsia="it-IT"/>
        </w:rPr>
        <w:t xml:space="preserve"> serrata critica la teoria della predeterminazione causale del negozio</w:t>
      </w:r>
      <w:r>
        <w:rPr>
          <w:rFonts w:ascii="Times New Roman" w:eastAsia="Times New Roman" w:hAnsi="Times New Roman" w:cs="Times New Roman"/>
          <w:color w:val="4B4B4C"/>
          <w:sz w:val="22"/>
          <w:szCs w:val="22"/>
          <w:lang w:eastAsia="it-IT"/>
        </w:rPr>
        <w:t xml:space="preserve">, la Cassazione ha fatto propria la prospettazione dottrinale secondo cui la </w:t>
      </w:r>
      <w:r w:rsidRPr="0063347B">
        <w:rPr>
          <w:rFonts w:ascii="Times New Roman" w:eastAsia="Times New Roman" w:hAnsi="Times New Roman" w:cs="Times New Roman"/>
          <w:color w:val="4B4B4C"/>
          <w:sz w:val="22"/>
          <w:szCs w:val="22"/>
          <w:lang w:eastAsia="it-IT"/>
        </w:rPr>
        <w:t>fattispecie causale</w:t>
      </w:r>
      <w:r>
        <w:rPr>
          <w:rFonts w:ascii="Times New Roman" w:eastAsia="Times New Roman" w:hAnsi="Times New Roman" w:cs="Times New Roman"/>
          <w:color w:val="4B4B4C"/>
          <w:sz w:val="22"/>
          <w:szCs w:val="22"/>
          <w:lang w:eastAsia="it-IT"/>
        </w:rPr>
        <w:t xml:space="preserve"> costituisce il momento di «</w:t>
      </w:r>
      <w:r w:rsidR="0022582D" w:rsidRPr="0063347B">
        <w:rPr>
          <w:rFonts w:ascii="Times New Roman" w:eastAsia="Times New Roman" w:hAnsi="Times New Roman" w:cs="Times New Roman"/>
          <w:i/>
          <w:iCs/>
          <w:color w:val="4B4B4C"/>
          <w:sz w:val="22"/>
          <w:szCs w:val="22"/>
          <w:lang w:eastAsia="it-IT"/>
        </w:rPr>
        <w:t>sintesi degli interessi reali che il contratto stesso è diretto a realizzare (al di là del modello, anche tipico, adoperato)</w:t>
      </w:r>
      <w:r>
        <w:rPr>
          <w:rFonts w:ascii="Times New Roman" w:eastAsia="Times New Roman" w:hAnsi="Times New Roman" w:cs="Times New Roman"/>
          <w:color w:val="4B4B4C"/>
          <w:sz w:val="22"/>
          <w:szCs w:val="22"/>
          <w:lang w:eastAsia="it-IT"/>
        </w:rPr>
        <w:t>»</w:t>
      </w:r>
      <w:r w:rsidR="0022582D" w:rsidRPr="0063347B">
        <w:rPr>
          <w:rFonts w:ascii="Times New Roman" w:eastAsia="Times New Roman" w:hAnsi="Times New Roman" w:cs="Times New Roman"/>
          <w:color w:val="4B4B4C"/>
          <w:sz w:val="22"/>
          <w:szCs w:val="22"/>
          <w:lang w:eastAsia="it-IT"/>
        </w:rPr>
        <w:t xml:space="preserve">. </w:t>
      </w:r>
      <w:r>
        <w:rPr>
          <w:rFonts w:ascii="Times New Roman" w:eastAsia="Times New Roman" w:hAnsi="Times New Roman" w:cs="Times New Roman"/>
          <w:color w:val="4B4B4C"/>
          <w:sz w:val="22"/>
          <w:szCs w:val="22"/>
          <w:lang w:eastAsia="it-IT"/>
        </w:rPr>
        <w:t xml:space="preserve">La teoria della “causa concreta” del negozio giuridico costituisce, quindi, il punto di approdo di un percorso </w:t>
      </w:r>
      <w:r w:rsidR="0022582D" w:rsidRPr="0063347B">
        <w:rPr>
          <w:rFonts w:ascii="Times New Roman" w:eastAsia="Times New Roman" w:hAnsi="Times New Roman" w:cs="Times New Roman"/>
          <w:color w:val="4B4B4C"/>
          <w:sz w:val="22"/>
          <w:szCs w:val="22"/>
          <w:lang w:eastAsia="it-IT"/>
        </w:rPr>
        <w:t xml:space="preserve">evolutivo del concetto di funzione economico-sociale del </w:t>
      </w:r>
      <w:r>
        <w:rPr>
          <w:rFonts w:ascii="Times New Roman" w:eastAsia="Times New Roman" w:hAnsi="Times New Roman" w:cs="Times New Roman"/>
          <w:color w:val="4B4B4C"/>
          <w:sz w:val="22"/>
          <w:szCs w:val="22"/>
          <w:lang w:eastAsia="it-IT"/>
        </w:rPr>
        <w:t>contratto,</w:t>
      </w:r>
      <w:r w:rsidR="0022582D" w:rsidRPr="0063347B">
        <w:rPr>
          <w:rFonts w:ascii="Times New Roman" w:eastAsia="Times New Roman" w:hAnsi="Times New Roman" w:cs="Times New Roman"/>
          <w:color w:val="4B4B4C"/>
          <w:sz w:val="22"/>
          <w:szCs w:val="22"/>
          <w:lang w:eastAsia="it-IT"/>
        </w:rPr>
        <w:t xml:space="preserve"> ch</w:t>
      </w:r>
      <w:r>
        <w:rPr>
          <w:rFonts w:ascii="Times New Roman" w:eastAsia="Times New Roman" w:hAnsi="Times New Roman" w:cs="Times New Roman"/>
          <w:color w:val="4B4B4C"/>
          <w:sz w:val="22"/>
          <w:szCs w:val="22"/>
          <w:lang w:eastAsia="it-IT"/>
        </w:rPr>
        <w:t>e si distingue per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ulteriore elemento della valorizzazione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uso che i contraenti hanno inteso fare del </w:t>
      </w:r>
      <w:r w:rsidR="0022582D" w:rsidRPr="0063347B">
        <w:rPr>
          <w:rFonts w:ascii="Times New Roman" w:eastAsia="Times New Roman" w:hAnsi="Times New Roman" w:cs="Times New Roman"/>
          <w:color w:val="4B4B4C"/>
          <w:sz w:val="22"/>
          <w:szCs w:val="22"/>
          <w:lang w:eastAsia="it-IT"/>
        </w:rPr>
        <w:t>tip</w:t>
      </w:r>
      <w:r>
        <w:rPr>
          <w:rFonts w:ascii="Times New Roman" w:eastAsia="Times New Roman" w:hAnsi="Times New Roman" w:cs="Times New Roman"/>
          <w:color w:val="4B4B4C"/>
          <w:sz w:val="22"/>
          <w:szCs w:val="22"/>
          <w:lang w:eastAsia="it-IT"/>
        </w:rPr>
        <w:t>o</w:t>
      </w:r>
      <w:r w:rsidR="0022582D" w:rsidRPr="0063347B">
        <w:rPr>
          <w:rFonts w:ascii="Times New Roman" w:eastAsia="Times New Roman" w:hAnsi="Times New Roman" w:cs="Times New Roman"/>
          <w:color w:val="4B4B4C"/>
          <w:sz w:val="22"/>
          <w:szCs w:val="22"/>
          <w:lang w:eastAsia="it-IT"/>
        </w:rPr>
        <w:t xml:space="preserve"> contrattual</w:t>
      </w:r>
      <w:r>
        <w:rPr>
          <w:rFonts w:ascii="Times New Roman" w:eastAsia="Times New Roman" w:hAnsi="Times New Roman" w:cs="Times New Roman"/>
          <w:color w:val="4B4B4C"/>
          <w:sz w:val="22"/>
          <w:szCs w:val="22"/>
          <w:lang w:eastAsia="it-IT"/>
        </w:rPr>
        <w:t>e impiegato nel caso specifico.</w:t>
      </w:r>
      <w:r w:rsidR="00F417FD" w:rsidRPr="00F417FD">
        <w:rPr>
          <w:rFonts w:ascii="Times New Roman" w:eastAsia="Times New Roman" w:hAnsi="Times New Roman" w:cs="Times New Roman"/>
          <w:color w:val="4B4B4C"/>
          <w:sz w:val="22"/>
          <w:szCs w:val="22"/>
          <w:lang w:eastAsia="it-IT"/>
        </w:rPr>
        <w:t xml:space="preserve"> </w:t>
      </w:r>
      <w:r w:rsidR="00F417FD" w:rsidRPr="0022582D">
        <w:rPr>
          <w:rFonts w:ascii="Times New Roman" w:eastAsia="Times New Roman" w:hAnsi="Times New Roman" w:cs="Times New Roman"/>
          <w:color w:val="4B4B4C"/>
          <w:sz w:val="22"/>
          <w:szCs w:val="22"/>
          <w:lang w:eastAsia="it-IT"/>
        </w:rPr>
        <w:t xml:space="preserve">La causa in concreto </w:t>
      </w:r>
      <w:r w:rsidR="00F417FD">
        <w:rPr>
          <w:rFonts w:ascii="Times New Roman" w:eastAsia="Times New Roman" w:hAnsi="Times New Roman" w:cs="Times New Roman"/>
          <w:color w:val="4B4B4C"/>
          <w:sz w:val="22"/>
          <w:szCs w:val="22"/>
          <w:lang w:eastAsia="it-IT"/>
        </w:rPr>
        <w:t>–</w:t>
      </w:r>
      <w:r w:rsidR="00F417FD" w:rsidRPr="0022582D">
        <w:rPr>
          <w:rFonts w:ascii="Times New Roman" w:eastAsia="Times New Roman" w:hAnsi="Times New Roman" w:cs="Times New Roman"/>
          <w:color w:val="4B4B4C"/>
          <w:sz w:val="22"/>
          <w:szCs w:val="22"/>
          <w:lang w:eastAsia="it-IT"/>
        </w:rPr>
        <w:t xml:space="preserve"> intesa</w:t>
      </w:r>
      <w:r w:rsidR="00F417FD">
        <w:rPr>
          <w:rFonts w:ascii="Times New Roman" w:eastAsia="Times New Roman" w:hAnsi="Times New Roman" w:cs="Times New Roman"/>
          <w:color w:val="4B4B4C"/>
          <w:sz w:val="22"/>
          <w:szCs w:val="22"/>
          <w:lang w:eastAsia="it-IT"/>
        </w:rPr>
        <w:t xml:space="preserve"> </w:t>
      </w:r>
      <w:r w:rsidR="00F417FD" w:rsidRPr="0022582D">
        <w:rPr>
          <w:rFonts w:ascii="Times New Roman" w:eastAsia="Times New Roman" w:hAnsi="Times New Roman" w:cs="Times New Roman"/>
          <w:color w:val="4B4B4C"/>
          <w:sz w:val="22"/>
          <w:szCs w:val="22"/>
          <w:lang w:eastAsia="it-IT"/>
        </w:rPr>
        <w:t xml:space="preserve">quale scopo pratico del contratto, in quanto sintesi degli interessi che il singolo negozio è concretamente diretto a realizzare, al di là del modello </w:t>
      </w:r>
      <w:r w:rsidR="00F417FD" w:rsidRPr="0022582D">
        <w:rPr>
          <w:rFonts w:ascii="Times New Roman" w:eastAsia="Times New Roman" w:hAnsi="Times New Roman" w:cs="Times New Roman"/>
          <w:color w:val="4B4B4C"/>
          <w:sz w:val="22"/>
          <w:szCs w:val="22"/>
          <w:lang w:eastAsia="it-IT"/>
        </w:rPr>
        <w:lastRenderedPageBreak/>
        <w:t xml:space="preserve">negoziale utilizzato </w:t>
      </w:r>
      <w:r w:rsidR="00F417FD">
        <w:rPr>
          <w:rFonts w:ascii="Times New Roman" w:eastAsia="Times New Roman" w:hAnsi="Times New Roman" w:cs="Times New Roman"/>
          <w:color w:val="4B4B4C"/>
          <w:sz w:val="22"/>
          <w:szCs w:val="22"/>
          <w:lang w:eastAsia="it-IT"/>
        </w:rPr>
        <w:t>–</w:t>
      </w:r>
      <w:r w:rsidR="00F417FD" w:rsidRPr="0022582D">
        <w:rPr>
          <w:rFonts w:ascii="Times New Roman" w:eastAsia="Times New Roman" w:hAnsi="Times New Roman" w:cs="Times New Roman"/>
          <w:color w:val="4B4B4C"/>
          <w:sz w:val="22"/>
          <w:szCs w:val="22"/>
          <w:lang w:eastAsia="it-IT"/>
        </w:rPr>
        <w:t xml:space="preserve"> conferisce</w:t>
      </w:r>
      <w:r w:rsidR="00F417FD">
        <w:rPr>
          <w:rFonts w:ascii="Times New Roman" w:eastAsia="Times New Roman" w:hAnsi="Times New Roman" w:cs="Times New Roman"/>
          <w:color w:val="4B4B4C"/>
          <w:sz w:val="22"/>
          <w:szCs w:val="22"/>
          <w:lang w:eastAsia="it-IT"/>
        </w:rPr>
        <w:t xml:space="preserve"> </w:t>
      </w:r>
      <w:r w:rsidR="00F417FD" w:rsidRPr="0022582D">
        <w:rPr>
          <w:rFonts w:ascii="Times New Roman" w:eastAsia="Times New Roman" w:hAnsi="Times New Roman" w:cs="Times New Roman"/>
          <w:color w:val="4B4B4C"/>
          <w:sz w:val="22"/>
          <w:szCs w:val="22"/>
          <w:lang w:eastAsia="it-IT"/>
        </w:rPr>
        <w:t>rilevanza ai motivi, sempre che questi abbiano assunto un valore determinante nell</w:t>
      </w:r>
      <w:r w:rsidR="00501E32">
        <w:rPr>
          <w:rFonts w:ascii="Times New Roman" w:eastAsia="Times New Roman" w:hAnsi="Times New Roman" w:cs="Times New Roman"/>
          <w:color w:val="4B4B4C"/>
          <w:sz w:val="22"/>
          <w:szCs w:val="22"/>
          <w:lang w:eastAsia="it-IT"/>
        </w:rPr>
        <w:t>’</w:t>
      </w:r>
      <w:r w:rsidR="00F417FD" w:rsidRPr="0022582D">
        <w:rPr>
          <w:rFonts w:ascii="Times New Roman" w:eastAsia="Times New Roman" w:hAnsi="Times New Roman" w:cs="Times New Roman"/>
          <w:color w:val="4B4B4C"/>
          <w:sz w:val="22"/>
          <w:szCs w:val="22"/>
          <w:lang w:eastAsia="it-IT"/>
        </w:rPr>
        <w:t>economia del negozio, assurgendo a presupposti causali, e siano comuni alle parti o, se riferibili ad una sola di esse, siano comunque conoscibili dall</w:t>
      </w:r>
      <w:r w:rsidR="00501E32">
        <w:rPr>
          <w:rFonts w:ascii="Times New Roman" w:eastAsia="Times New Roman" w:hAnsi="Times New Roman" w:cs="Times New Roman"/>
          <w:color w:val="4B4B4C"/>
          <w:sz w:val="22"/>
          <w:szCs w:val="22"/>
          <w:lang w:eastAsia="it-IT"/>
        </w:rPr>
        <w:t>’</w:t>
      </w:r>
      <w:r w:rsidR="00F417FD" w:rsidRPr="0022582D">
        <w:rPr>
          <w:rFonts w:ascii="Times New Roman" w:eastAsia="Times New Roman" w:hAnsi="Times New Roman" w:cs="Times New Roman"/>
          <w:color w:val="4B4B4C"/>
          <w:sz w:val="22"/>
          <w:szCs w:val="22"/>
          <w:lang w:eastAsia="it-IT"/>
        </w:rPr>
        <w:t>altra</w:t>
      </w:r>
      <w:r w:rsidR="00F417FD">
        <w:rPr>
          <w:rStyle w:val="Rimandonotaapidipagina"/>
          <w:rFonts w:ascii="Times New Roman" w:eastAsia="Times New Roman" w:hAnsi="Times New Roman" w:cs="Times New Roman"/>
          <w:color w:val="4B4B4C"/>
          <w:sz w:val="22"/>
          <w:szCs w:val="22"/>
          <w:lang w:eastAsia="it-IT"/>
        </w:rPr>
        <w:footnoteReference w:id="14"/>
      </w:r>
      <w:r w:rsidR="00F417FD" w:rsidRPr="0022582D">
        <w:rPr>
          <w:rFonts w:ascii="Times New Roman" w:eastAsia="Times New Roman" w:hAnsi="Times New Roman" w:cs="Times New Roman"/>
          <w:color w:val="4B4B4C"/>
          <w:sz w:val="22"/>
          <w:szCs w:val="22"/>
          <w:lang w:eastAsia="it-IT"/>
        </w:rPr>
        <w:t>.</w:t>
      </w:r>
    </w:p>
    <w:p w:rsidR="00F417FD" w:rsidRDefault="00F417FD"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Ma la ricerca e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individuazione tanto della funzione economico-sociale del contratto, quanto della sua ragione concreta (e, con essa, dei motivi giuridicamente rilevanti) non possono prescindere dalla corretta percezione del contesto nel quale avviene la negoziazione, delle qualifiche e degli scopi </w:t>
      </w:r>
      <w:r w:rsidR="00776905">
        <w:rPr>
          <w:rFonts w:ascii="Times New Roman" w:eastAsia="Times New Roman" w:hAnsi="Times New Roman" w:cs="Times New Roman"/>
          <w:color w:val="4B4B4C"/>
          <w:sz w:val="22"/>
          <w:szCs w:val="22"/>
          <w:lang w:eastAsia="it-IT"/>
        </w:rPr>
        <w:t>economici</w:t>
      </w:r>
      <w:r>
        <w:rPr>
          <w:rFonts w:ascii="Times New Roman" w:eastAsia="Times New Roman" w:hAnsi="Times New Roman" w:cs="Times New Roman"/>
          <w:color w:val="4B4B4C"/>
          <w:sz w:val="22"/>
          <w:szCs w:val="22"/>
          <w:lang w:eastAsia="it-IT"/>
        </w:rPr>
        <w:t xml:space="preserve"> degli operatori di mercato, delle regole dello stesso e della natura del bene oggetto di circolazione. </w:t>
      </w:r>
    </w:p>
    <w:p w:rsidR="00F417FD" w:rsidRDefault="00F417FD"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Tale indagine sfocia in una domanda: ossia se sia configurabile un vero e proprio mercato </w:t>
      </w:r>
      <w:r w:rsidRPr="00F417FD">
        <w:rPr>
          <w:rFonts w:ascii="Times New Roman" w:eastAsia="Times New Roman" w:hAnsi="Times New Roman" w:cs="Times New Roman"/>
          <w:i/>
          <w:iCs/>
          <w:color w:val="4B4B4C"/>
          <w:sz w:val="22"/>
          <w:szCs w:val="22"/>
          <w:lang w:eastAsia="it-IT"/>
        </w:rPr>
        <w:t>sub specie iuris</w:t>
      </w:r>
      <w:r>
        <w:rPr>
          <w:rFonts w:ascii="Times New Roman" w:eastAsia="Times New Roman" w:hAnsi="Times New Roman" w:cs="Times New Roman"/>
          <w:color w:val="4B4B4C"/>
          <w:sz w:val="22"/>
          <w:szCs w:val="22"/>
          <w:lang w:eastAsia="it-IT"/>
        </w:rPr>
        <w:t xml:space="preserve"> dei crediti deteriorati, nel cui ambito gli operatori agiscano sospinti da motivi comuni e determinanti e perseguendo precisi scopi specifici, al di là dei tipi contrattuali utilizzati</w:t>
      </w:r>
      <w:r w:rsidR="009C0964">
        <w:rPr>
          <w:rStyle w:val="Rimandonotaapidipagina"/>
          <w:rFonts w:ascii="Times New Roman" w:eastAsia="Times New Roman" w:hAnsi="Times New Roman" w:cs="Times New Roman"/>
          <w:color w:val="4B4B4C"/>
          <w:sz w:val="22"/>
          <w:szCs w:val="22"/>
          <w:lang w:eastAsia="it-IT"/>
        </w:rPr>
        <w:footnoteReference w:id="15"/>
      </w:r>
      <w:r>
        <w:rPr>
          <w:rFonts w:ascii="Times New Roman" w:eastAsia="Times New Roman" w:hAnsi="Times New Roman" w:cs="Times New Roman"/>
          <w:color w:val="4B4B4C"/>
          <w:sz w:val="22"/>
          <w:szCs w:val="22"/>
          <w:lang w:eastAsia="it-IT"/>
        </w:rPr>
        <w:t>.</w:t>
      </w:r>
    </w:p>
    <w:p w:rsidR="00F417FD" w:rsidRDefault="00F417FD" w:rsidP="00B106E0">
      <w:pPr>
        <w:spacing w:line="360" w:lineRule="auto"/>
        <w:jc w:val="both"/>
        <w:rPr>
          <w:rFonts w:ascii="Times New Roman" w:eastAsia="Times New Roman" w:hAnsi="Times New Roman" w:cs="Times New Roman"/>
          <w:color w:val="4B4B4C"/>
          <w:sz w:val="22"/>
          <w:szCs w:val="22"/>
          <w:lang w:eastAsia="it-IT"/>
        </w:rPr>
      </w:pPr>
    </w:p>
    <w:p w:rsidR="009C0964" w:rsidRDefault="009C0964" w:rsidP="00B106E0">
      <w:pPr>
        <w:spacing w:line="360" w:lineRule="auto"/>
        <w:jc w:val="both"/>
        <w:rPr>
          <w:rFonts w:ascii="Times New Roman" w:eastAsia="Times New Roman" w:hAnsi="Times New Roman" w:cs="Times New Roman"/>
          <w:color w:val="4B4B4C"/>
          <w:sz w:val="22"/>
          <w:szCs w:val="22"/>
          <w:lang w:eastAsia="it-IT"/>
        </w:rPr>
      </w:pPr>
    </w:p>
    <w:p w:rsidR="00776905" w:rsidRPr="00AB6935" w:rsidRDefault="00776905" w:rsidP="00B106E0">
      <w:pPr>
        <w:keepNext/>
        <w:widowControl w:val="0"/>
        <w:spacing w:after="240" w:line="360" w:lineRule="auto"/>
        <w:jc w:val="both"/>
        <w:rPr>
          <w:rFonts w:ascii="Times New Roman" w:hAnsi="Times New Roman" w:cs="Times New Roman"/>
          <w:i/>
          <w:iCs/>
          <w:sz w:val="22"/>
          <w:szCs w:val="22"/>
        </w:rPr>
      </w:pPr>
      <w:r>
        <w:rPr>
          <w:rFonts w:ascii="Times New Roman" w:hAnsi="Times New Roman" w:cs="Times New Roman"/>
          <w:i/>
          <w:iCs/>
          <w:sz w:val="22"/>
          <w:szCs w:val="22"/>
        </w:rPr>
        <w:t>3</w:t>
      </w:r>
      <w:r w:rsidRPr="00AB6935">
        <w:rPr>
          <w:rFonts w:ascii="Times New Roman" w:hAnsi="Times New Roman" w:cs="Times New Roman"/>
          <w:i/>
          <w:iCs/>
          <w:sz w:val="22"/>
          <w:szCs w:val="22"/>
        </w:rPr>
        <w:t xml:space="preserve">. </w:t>
      </w:r>
      <w:r>
        <w:rPr>
          <w:rFonts w:ascii="Times New Roman" w:hAnsi="Times New Roman" w:cs="Times New Roman"/>
          <w:i/>
          <w:iCs/>
          <w:sz w:val="22"/>
          <w:szCs w:val="22"/>
        </w:rPr>
        <w:t xml:space="preserve">Il mercato dei crediti deteriorati come </w:t>
      </w:r>
      <w:r w:rsidRPr="00087694">
        <w:rPr>
          <w:rFonts w:ascii="Times New Roman" w:hAnsi="Times New Roman" w:cs="Times New Roman"/>
          <w:sz w:val="22"/>
          <w:szCs w:val="22"/>
        </w:rPr>
        <w:t xml:space="preserve">locus </w:t>
      </w:r>
      <w:proofErr w:type="spellStart"/>
      <w:r w:rsidRPr="00087694">
        <w:rPr>
          <w:rFonts w:ascii="Times New Roman" w:hAnsi="Times New Roman" w:cs="Times New Roman"/>
          <w:sz w:val="22"/>
          <w:szCs w:val="22"/>
        </w:rPr>
        <w:t>artificialis</w:t>
      </w:r>
      <w:proofErr w:type="spellEnd"/>
    </w:p>
    <w:p w:rsidR="009C0964" w:rsidRDefault="009C0964"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Per dare una risposta al quesito testé illustrato, occorre intendersi su cosa si intenda come “mercato degli NPE” e, ancor prima, sul concetto stesso di mercato</w:t>
      </w:r>
      <w:r>
        <w:rPr>
          <w:rStyle w:val="Rimandonotaapidipagina"/>
          <w:rFonts w:ascii="Times New Roman" w:eastAsia="Times New Roman" w:hAnsi="Times New Roman" w:cs="Times New Roman"/>
          <w:color w:val="4B4B4C"/>
          <w:sz w:val="22"/>
          <w:szCs w:val="22"/>
          <w:lang w:eastAsia="it-IT"/>
        </w:rPr>
        <w:footnoteReference w:id="16"/>
      </w:r>
      <w:r>
        <w:rPr>
          <w:rFonts w:ascii="Times New Roman" w:eastAsia="Times New Roman" w:hAnsi="Times New Roman" w:cs="Times New Roman"/>
          <w:color w:val="4B4B4C"/>
          <w:sz w:val="22"/>
          <w:szCs w:val="22"/>
          <w:lang w:eastAsia="it-IT"/>
        </w:rPr>
        <w:t xml:space="preserve">. </w:t>
      </w:r>
    </w:p>
    <w:p w:rsidR="008451F7" w:rsidRDefault="008451F7"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lastRenderedPageBreak/>
        <w:t>Fra i giuristi è ancora vivo il dibattito di chi ritiene che il mercato sia un luogo naturale, conformato dalla logica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economia che si impone e prevale su quella del diritto e pretende dall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ordinamento giuridico una tutela necessaria e scontata</w:t>
      </w:r>
      <w:r>
        <w:rPr>
          <w:rStyle w:val="Rimandonotaapidipagina"/>
          <w:rFonts w:ascii="Times New Roman" w:eastAsia="Times New Roman" w:hAnsi="Times New Roman" w:cs="Times New Roman"/>
          <w:color w:val="4B4B4C"/>
          <w:sz w:val="22"/>
          <w:szCs w:val="22"/>
          <w:lang w:eastAsia="it-IT"/>
        </w:rPr>
        <w:footnoteReference w:id="17"/>
      </w:r>
      <w:r>
        <w:rPr>
          <w:rFonts w:ascii="Times New Roman" w:eastAsia="Times New Roman" w:hAnsi="Times New Roman" w:cs="Times New Roman"/>
          <w:color w:val="4B4B4C"/>
          <w:sz w:val="22"/>
          <w:szCs w:val="22"/>
          <w:lang w:eastAsia="it-IT"/>
        </w:rPr>
        <w:t xml:space="preserve">; e chi, invece, rappresenta il mercato come un </w:t>
      </w:r>
      <w:r w:rsidRPr="005D6143">
        <w:rPr>
          <w:rFonts w:ascii="Times New Roman" w:eastAsia="Times New Roman" w:hAnsi="Times New Roman" w:cs="Times New Roman"/>
          <w:i/>
          <w:iCs/>
          <w:color w:val="4B4B4C"/>
          <w:sz w:val="22"/>
          <w:szCs w:val="22"/>
          <w:lang w:eastAsia="it-IT"/>
        </w:rPr>
        <w:t xml:space="preserve">locus </w:t>
      </w:r>
      <w:proofErr w:type="spellStart"/>
      <w:r w:rsidRPr="005D6143">
        <w:rPr>
          <w:rFonts w:ascii="Times New Roman" w:eastAsia="Times New Roman" w:hAnsi="Times New Roman" w:cs="Times New Roman"/>
          <w:i/>
          <w:iCs/>
          <w:color w:val="4B4B4C"/>
          <w:sz w:val="22"/>
          <w:szCs w:val="22"/>
          <w:lang w:eastAsia="it-IT"/>
        </w:rPr>
        <w:t>artificialis</w:t>
      </w:r>
      <w:proofErr w:type="spellEnd"/>
      <w:r>
        <w:rPr>
          <w:rFonts w:ascii="Times New Roman" w:eastAsia="Times New Roman" w:hAnsi="Times New Roman" w:cs="Times New Roman"/>
          <w:color w:val="4B4B4C"/>
          <w:sz w:val="22"/>
          <w:szCs w:val="22"/>
          <w:lang w:eastAsia="it-IT"/>
        </w:rPr>
        <w:t>, costituito e regolato dal diritto, che «</w:t>
      </w:r>
      <w:r w:rsidRPr="0023451A">
        <w:rPr>
          <w:rFonts w:ascii="Times New Roman" w:eastAsia="Times New Roman" w:hAnsi="Times New Roman" w:cs="Times New Roman"/>
          <w:i/>
          <w:iCs/>
          <w:color w:val="4B4B4C"/>
          <w:sz w:val="22"/>
          <w:szCs w:val="22"/>
          <w:lang w:eastAsia="it-IT"/>
        </w:rPr>
        <w:t>conferisce “forma” all</w:t>
      </w:r>
      <w:r w:rsidR="00501E32">
        <w:rPr>
          <w:rFonts w:ascii="Times New Roman" w:eastAsia="Times New Roman" w:hAnsi="Times New Roman" w:cs="Times New Roman"/>
          <w:i/>
          <w:iCs/>
          <w:color w:val="4B4B4C"/>
          <w:sz w:val="22"/>
          <w:szCs w:val="22"/>
          <w:lang w:eastAsia="it-IT"/>
        </w:rPr>
        <w:t>’</w:t>
      </w:r>
      <w:r w:rsidRPr="0023451A">
        <w:rPr>
          <w:rFonts w:ascii="Times New Roman" w:eastAsia="Times New Roman" w:hAnsi="Times New Roman" w:cs="Times New Roman"/>
          <w:i/>
          <w:iCs/>
          <w:color w:val="4B4B4C"/>
          <w:sz w:val="22"/>
          <w:szCs w:val="22"/>
          <w:lang w:eastAsia="it-IT"/>
        </w:rPr>
        <w:t>economia, e la fa, di tempo in tempo, mercantile o collettivistica o mista, e via seguitando</w:t>
      </w:r>
      <w:r>
        <w:rPr>
          <w:rFonts w:ascii="Times New Roman" w:eastAsia="Times New Roman" w:hAnsi="Times New Roman" w:cs="Times New Roman"/>
          <w:color w:val="4B4B4C"/>
          <w:sz w:val="22"/>
          <w:szCs w:val="22"/>
          <w:lang w:eastAsia="it-IT"/>
        </w:rPr>
        <w:t>»</w:t>
      </w:r>
      <w:r>
        <w:rPr>
          <w:rStyle w:val="Rimandonotaapidipagina"/>
          <w:rFonts w:ascii="Times New Roman" w:eastAsia="Times New Roman" w:hAnsi="Times New Roman" w:cs="Times New Roman"/>
          <w:color w:val="4B4B4C"/>
          <w:sz w:val="22"/>
          <w:szCs w:val="22"/>
          <w:lang w:eastAsia="it-IT"/>
        </w:rPr>
        <w:footnoteReference w:id="18"/>
      </w:r>
      <w:r>
        <w:rPr>
          <w:rFonts w:ascii="Times New Roman" w:eastAsia="Times New Roman" w:hAnsi="Times New Roman" w:cs="Times New Roman"/>
          <w:color w:val="4B4B4C"/>
          <w:sz w:val="22"/>
          <w:szCs w:val="22"/>
          <w:lang w:eastAsia="it-IT"/>
        </w:rPr>
        <w:t xml:space="preserve">. E poiché la forma del mercato dipende dalle decisioni politiche del momento storico, che </w:t>
      </w:r>
      <w:r w:rsidRPr="0023451A">
        <w:rPr>
          <w:rFonts w:ascii="Times New Roman" w:eastAsia="Times New Roman" w:hAnsi="Times New Roman" w:cs="Times New Roman"/>
          <w:color w:val="4B4B4C"/>
          <w:sz w:val="22"/>
          <w:szCs w:val="22"/>
          <w:lang w:eastAsia="it-IT"/>
        </w:rPr>
        <w:t xml:space="preserve">sono di per sé mutevoli, </w:t>
      </w:r>
      <w:r>
        <w:rPr>
          <w:rFonts w:ascii="Times New Roman" w:eastAsia="Times New Roman" w:hAnsi="Times New Roman" w:cs="Times New Roman"/>
          <w:color w:val="4B4B4C"/>
          <w:sz w:val="22"/>
          <w:szCs w:val="22"/>
          <w:lang w:eastAsia="it-IT"/>
        </w:rPr>
        <w:t>«</w:t>
      </w:r>
      <w:r w:rsidRPr="0023451A">
        <w:rPr>
          <w:rFonts w:ascii="Times New Roman" w:eastAsia="Times New Roman" w:hAnsi="Times New Roman" w:cs="Times New Roman"/>
          <w:i/>
          <w:iCs/>
          <w:color w:val="4B4B4C"/>
          <w:sz w:val="22"/>
          <w:szCs w:val="22"/>
          <w:lang w:eastAsia="it-IT"/>
        </w:rPr>
        <w:t>i vari regimi dell</w:t>
      </w:r>
      <w:r w:rsidR="00501E32">
        <w:rPr>
          <w:rFonts w:ascii="Times New Roman" w:eastAsia="Times New Roman" w:hAnsi="Times New Roman" w:cs="Times New Roman"/>
          <w:i/>
          <w:iCs/>
          <w:color w:val="4B4B4C"/>
          <w:sz w:val="22"/>
          <w:szCs w:val="22"/>
          <w:lang w:eastAsia="it-IT"/>
        </w:rPr>
        <w:t>’</w:t>
      </w:r>
      <w:r w:rsidRPr="0023451A">
        <w:rPr>
          <w:rFonts w:ascii="Times New Roman" w:eastAsia="Times New Roman" w:hAnsi="Times New Roman" w:cs="Times New Roman"/>
          <w:i/>
          <w:iCs/>
          <w:color w:val="4B4B4C"/>
          <w:sz w:val="22"/>
          <w:szCs w:val="22"/>
          <w:lang w:eastAsia="it-IT"/>
        </w:rPr>
        <w:t>economia vengono segnati dalla storicità, e nessuno può dirsi assoluto e definitivo</w:t>
      </w:r>
      <w:r>
        <w:rPr>
          <w:rFonts w:ascii="Times New Roman" w:eastAsia="Times New Roman" w:hAnsi="Times New Roman" w:cs="Times New Roman"/>
          <w:color w:val="4B4B4C"/>
          <w:sz w:val="22"/>
          <w:szCs w:val="22"/>
          <w:lang w:eastAsia="it-IT"/>
        </w:rPr>
        <w:t>»</w:t>
      </w:r>
      <w:r>
        <w:rPr>
          <w:rStyle w:val="Rimandonotaapidipagina"/>
          <w:rFonts w:ascii="Times New Roman" w:eastAsia="Times New Roman" w:hAnsi="Times New Roman" w:cs="Times New Roman"/>
          <w:color w:val="4B4B4C"/>
          <w:sz w:val="22"/>
          <w:szCs w:val="22"/>
          <w:lang w:eastAsia="it-IT"/>
        </w:rPr>
        <w:footnoteReference w:id="19"/>
      </w:r>
      <w:r>
        <w:rPr>
          <w:rFonts w:ascii="Times New Roman" w:eastAsia="Times New Roman" w:hAnsi="Times New Roman" w:cs="Times New Roman"/>
          <w:color w:val="4B4B4C"/>
          <w:sz w:val="22"/>
          <w:szCs w:val="22"/>
          <w:lang w:eastAsia="it-IT"/>
        </w:rPr>
        <w:t>.</w:t>
      </w:r>
    </w:p>
    <w:p w:rsidR="00793F25" w:rsidRDefault="00D57F61"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Se si volge lo sguardo al tema dei crediti deteriorati, ci si avvede che raramente potrà aversi un contesto maggiormente “artificiale”.</w:t>
      </w:r>
    </w:p>
    <w:p w:rsidR="00793F25" w:rsidRDefault="00793F25"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Artificiale </w:t>
      </w:r>
      <w:r w:rsidR="00501E32">
        <w:rPr>
          <w:rFonts w:ascii="Times New Roman" w:eastAsia="Times New Roman" w:hAnsi="Times New Roman" w:cs="Times New Roman"/>
          <w:color w:val="4B4B4C"/>
          <w:sz w:val="22"/>
          <w:szCs w:val="22"/>
          <w:lang w:eastAsia="it-IT"/>
        </w:rPr>
        <w:t xml:space="preserve">– cioè generato dal diritto, più che da dinamiche economiche – </w:t>
      </w:r>
      <w:r>
        <w:rPr>
          <w:rFonts w:ascii="Times New Roman" w:eastAsia="Times New Roman" w:hAnsi="Times New Roman" w:cs="Times New Roman"/>
          <w:color w:val="4B4B4C"/>
          <w:sz w:val="22"/>
          <w:szCs w:val="22"/>
          <w:lang w:eastAsia="it-IT"/>
        </w:rPr>
        <w:t xml:space="preserve">è, anzitutto, </w:t>
      </w:r>
      <w:r w:rsidR="00501E32">
        <w:rPr>
          <w:rFonts w:ascii="Times New Roman" w:eastAsia="Times New Roman" w:hAnsi="Times New Roman" w:cs="Times New Roman"/>
          <w:color w:val="4B4B4C"/>
          <w:sz w:val="22"/>
          <w:szCs w:val="22"/>
          <w:lang w:eastAsia="it-IT"/>
        </w:rPr>
        <w:t xml:space="preserve">la circostanza </w:t>
      </w:r>
      <w:r>
        <w:rPr>
          <w:rFonts w:ascii="Times New Roman" w:eastAsia="Times New Roman" w:hAnsi="Times New Roman" w:cs="Times New Roman"/>
          <w:color w:val="4B4B4C"/>
          <w:sz w:val="22"/>
          <w:szCs w:val="22"/>
          <w:lang w:eastAsia="it-IT"/>
        </w:rPr>
        <w:t>che genera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offerta, ossia la necessità per le banche di conformarsi alle direttive </w:t>
      </w:r>
      <w:r w:rsidR="00A844C4">
        <w:rPr>
          <w:rFonts w:ascii="Times New Roman" w:eastAsia="Times New Roman" w:hAnsi="Times New Roman" w:cs="Times New Roman"/>
          <w:color w:val="4B4B4C"/>
          <w:sz w:val="22"/>
          <w:szCs w:val="22"/>
          <w:lang w:eastAsia="it-IT"/>
        </w:rPr>
        <w:t xml:space="preserve">prudenziali </w:t>
      </w:r>
      <w:r>
        <w:rPr>
          <w:rFonts w:ascii="Times New Roman" w:eastAsia="Times New Roman" w:hAnsi="Times New Roman" w:cs="Times New Roman"/>
          <w:color w:val="4B4B4C"/>
          <w:sz w:val="22"/>
          <w:szCs w:val="22"/>
          <w:lang w:eastAsia="it-IT"/>
        </w:rPr>
        <w:t xml:space="preserve">delle autorità di vigilanza in materia di </w:t>
      </w:r>
      <w:r w:rsidR="00A844C4">
        <w:rPr>
          <w:rFonts w:ascii="Times New Roman" w:eastAsia="Times New Roman" w:hAnsi="Times New Roman" w:cs="Times New Roman"/>
          <w:color w:val="4B4B4C"/>
          <w:sz w:val="22"/>
          <w:szCs w:val="22"/>
          <w:lang w:eastAsia="it-IT"/>
        </w:rPr>
        <w:t>requisiti patrimoniali. Tale necessità, infatti, non è generata da una logica economica, ma dall</w:t>
      </w:r>
      <w:r w:rsidR="00501E32">
        <w:rPr>
          <w:rFonts w:ascii="Times New Roman" w:eastAsia="Times New Roman" w:hAnsi="Times New Roman" w:cs="Times New Roman"/>
          <w:color w:val="4B4B4C"/>
          <w:sz w:val="22"/>
          <w:szCs w:val="22"/>
          <w:lang w:eastAsia="it-IT"/>
        </w:rPr>
        <w:t>’</w:t>
      </w:r>
      <w:r w:rsidR="00A844C4">
        <w:rPr>
          <w:rFonts w:ascii="Times New Roman" w:eastAsia="Times New Roman" w:hAnsi="Times New Roman" w:cs="Times New Roman"/>
          <w:color w:val="4B4B4C"/>
          <w:sz w:val="22"/>
          <w:szCs w:val="22"/>
          <w:lang w:eastAsia="it-IT"/>
        </w:rPr>
        <w:t>osservanza del c.d. primo pilastro di “Basilea II”</w:t>
      </w:r>
      <w:r w:rsidR="00A844C4">
        <w:rPr>
          <w:rStyle w:val="Rimandonotaapidipagina"/>
          <w:rFonts w:ascii="Times New Roman" w:eastAsia="Times New Roman" w:hAnsi="Times New Roman" w:cs="Times New Roman"/>
          <w:color w:val="4B4B4C"/>
          <w:sz w:val="22"/>
          <w:szCs w:val="22"/>
          <w:lang w:eastAsia="it-IT"/>
        </w:rPr>
        <w:footnoteReference w:id="20"/>
      </w:r>
      <w:r w:rsidR="00A844C4">
        <w:rPr>
          <w:rFonts w:ascii="Times New Roman" w:eastAsia="Times New Roman" w:hAnsi="Times New Roman" w:cs="Times New Roman"/>
          <w:color w:val="4B4B4C"/>
          <w:sz w:val="22"/>
          <w:szCs w:val="22"/>
          <w:lang w:eastAsia="it-IT"/>
        </w:rPr>
        <w:t xml:space="preserve">. Anzi, si potrebbe controvertere sul fatto che </w:t>
      </w:r>
      <w:r w:rsidR="00776905">
        <w:rPr>
          <w:rFonts w:ascii="Times New Roman" w:eastAsia="Times New Roman" w:hAnsi="Times New Roman" w:cs="Times New Roman"/>
          <w:color w:val="4B4B4C"/>
          <w:sz w:val="22"/>
          <w:szCs w:val="22"/>
          <w:lang w:eastAsia="it-IT"/>
        </w:rPr>
        <w:t xml:space="preserve">– da un punto di vista squisitamente economico – </w:t>
      </w:r>
      <w:r w:rsidR="00A844C4">
        <w:rPr>
          <w:rFonts w:ascii="Times New Roman" w:eastAsia="Times New Roman" w:hAnsi="Times New Roman" w:cs="Times New Roman"/>
          <w:color w:val="4B4B4C"/>
          <w:sz w:val="22"/>
          <w:szCs w:val="22"/>
          <w:lang w:eastAsia="it-IT"/>
        </w:rPr>
        <w:t>la soluzione economicamente più conveniente sia quella di dismettere i crediti deteriorati, piuttosto che tentarne la riscossione forzata</w:t>
      </w:r>
      <w:r w:rsidR="00776905">
        <w:rPr>
          <w:rFonts w:ascii="Times New Roman" w:eastAsia="Times New Roman" w:hAnsi="Times New Roman" w:cs="Times New Roman"/>
          <w:color w:val="4B4B4C"/>
          <w:sz w:val="22"/>
          <w:szCs w:val="22"/>
          <w:lang w:eastAsia="it-IT"/>
        </w:rPr>
        <w:t>; tant</w:t>
      </w:r>
      <w:r w:rsidR="00501E32">
        <w:rPr>
          <w:rFonts w:ascii="Times New Roman" w:eastAsia="Times New Roman" w:hAnsi="Times New Roman" w:cs="Times New Roman"/>
          <w:color w:val="4B4B4C"/>
          <w:sz w:val="22"/>
          <w:szCs w:val="22"/>
          <w:lang w:eastAsia="it-IT"/>
        </w:rPr>
        <w:t>’</w:t>
      </w:r>
      <w:r w:rsidR="00776905">
        <w:rPr>
          <w:rFonts w:ascii="Times New Roman" w:eastAsia="Times New Roman" w:hAnsi="Times New Roman" w:cs="Times New Roman"/>
          <w:color w:val="4B4B4C"/>
          <w:sz w:val="22"/>
          <w:szCs w:val="22"/>
          <w:lang w:eastAsia="it-IT"/>
        </w:rPr>
        <w:t>è che la loro cessione genera il valore di cui si alimenta il mercato</w:t>
      </w:r>
      <w:r w:rsidR="00A844C4">
        <w:rPr>
          <w:rFonts w:ascii="Times New Roman" w:eastAsia="Times New Roman" w:hAnsi="Times New Roman" w:cs="Times New Roman"/>
          <w:color w:val="4B4B4C"/>
          <w:sz w:val="22"/>
          <w:szCs w:val="22"/>
          <w:lang w:eastAsia="it-IT"/>
        </w:rPr>
        <w:t xml:space="preserve">. Ma le banche devono “pulire” i propri bilanci, essendo altrimenti costrette </w:t>
      </w:r>
      <w:r w:rsidR="00A844C4">
        <w:rPr>
          <w:rFonts w:ascii="Times New Roman" w:eastAsia="Times New Roman" w:hAnsi="Times New Roman" w:cs="Times New Roman"/>
          <w:color w:val="4B4B4C"/>
          <w:sz w:val="22"/>
          <w:szCs w:val="22"/>
          <w:lang w:eastAsia="it-IT"/>
        </w:rPr>
        <w:lastRenderedPageBreak/>
        <w:t xml:space="preserve">ad </w:t>
      </w:r>
      <w:r w:rsidR="00A844C4" w:rsidRPr="00A844C4">
        <w:rPr>
          <w:rFonts w:ascii="Times New Roman" w:eastAsia="Times New Roman" w:hAnsi="Times New Roman" w:cs="Times New Roman"/>
          <w:color w:val="4B4B4C"/>
          <w:sz w:val="22"/>
          <w:szCs w:val="22"/>
          <w:lang w:eastAsia="it-IT"/>
        </w:rPr>
        <w:t>accantonare quote di capitale proporzionate al rischio assunto</w:t>
      </w:r>
      <w:r w:rsidR="00A51068">
        <w:rPr>
          <w:rStyle w:val="Rimandonotaapidipagina"/>
          <w:rFonts w:ascii="Times New Roman" w:eastAsia="Times New Roman" w:hAnsi="Times New Roman" w:cs="Times New Roman"/>
          <w:color w:val="4B4B4C"/>
          <w:sz w:val="22"/>
          <w:szCs w:val="22"/>
          <w:lang w:eastAsia="it-IT"/>
        </w:rPr>
        <w:footnoteReference w:id="21"/>
      </w:r>
      <w:r w:rsidR="00A844C4">
        <w:rPr>
          <w:rFonts w:ascii="Times New Roman" w:eastAsia="Times New Roman" w:hAnsi="Times New Roman" w:cs="Times New Roman"/>
          <w:color w:val="4B4B4C"/>
          <w:sz w:val="22"/>
          <w:szCs w:val="22"/>
          <w:lang w:eastAsia="it-IT"/>
        </w:rPr>
        <w:t>. La generazione dell</w:t>
      </w:r>
      <w:r w:rsidR="00501E32">
        <w:rPr>
          <w:rFonts w:ascii="Times New Roman" w:eastAsia="Times New Roman" w:hAnsi="Times New Roman" w:cs="Times New Roman"/>
          <w:color w:val="4B4B4C"/>
          <w:sz w:val="22"/>
          <w:szCs w:val="22"/>
          <w:lang w:eastAsia="it-IT"/>
        </w:rPr>
        <w:t>’</w:t>
      </w:r>
      <w:r w:rsidR="00A844C4">
        <w:rPr>
          <w:rFonts w:ascii="Times New Roman" w:eastAsia="Times New Roman" w:hAnsi="Times New Roman" w:cs="Times New Roman"/>
          <w:color w:val="4B4B4C"/>
          <w:sz w:val="22"/>
          <w:szCs w:val="22"/>
          <w:lang w:eastAsia="it-IT"/>
        </w:rPr>
        <w:t>offerta, dunque, non discende dall</w:t>
      </w:r>
      <w:r w:rsidR="00501E32">
        <w:rPr>
          <w:rFonts w:ascii="Times New Roman" w:eastAsia="Times New Roman" w:hAnsi="Times New Roman" w:cs="Times New Roman"/>
          <w:color w:val="4B4B4C"/>
          <w:sz w:val="22"/>
          <w:szCs w:val="22"/>
          <w:lang w:eastAsia="it-IT"/>
        </w:rPr>
        <w:t>’</w:t>
      </w:r>
      <w:r w:rsidR="00A844C4">
        <w:rPr>
          <w:rFonts w:ascii="Times New Roman" w:eastAsia="Times New Roman" w:hAnsi="Times New Roman" w:cs="Times New Roman"/>
          <w:color w:val="4B4B4C"/>
          <w:sz w:val="22"/>
          <w:szCs w:val="22"/>
          <w:lang w:eastAsia="it-IT"/>
        </w:rPr>
        <w:t xml:space="preserve">intenzione di generare profitto </w:t>
      </w:r>
      <w:r w:rsidR="00C047C6">
        <w:rPr>
          <w:rFonts w:ascii="Times New Roman" w:eastAsia="Times New Roman" w:hAnsi="Times New Roman" w:cs="Times New Roman"/>
          <w:color w:val="4B4B4C"/>
          <w:sz w:val="22"/>
          <w:szCs w:val="22"/>
          <w:lang w:eastAsia="it-IT"/>
        </w:rPr>
        <w:t>mediante l</w:t>
      </w:r>
      <w:r w:rsidR="00501E32">
        <w:rPr>
          <w:rFonts w:ascii="Times New Roman" w:eastAsia="Times New Roman" w:hAnsi="Times New Roman" w:cs="Times New Roman"/>
          <w:color w:val="4B4B4C"/>
          <w:sz w:val="22"/>
          <w:szCs w:val="22"/>
          <w:lang w:eastAsia="it-IT"/>
        </w:rPr>
        <w:t>’</w:t>
      </w:r>
      <w:r w:rsidR="00A844C4">
        <w:rPr>
          <w:rFonts w:ascii="Times New Roman" w:eastAsia="Times New Roman" w:hAnsi="Times New Roman" w:cs="Times New Roman"/>
          <w:color w:val="4B4B4C"/>
          <w:sz w:val="22"/>
          <w:szCs w:val="22"/>
          <w:lang w:eastAsia="it-IT"/>
        </w:rPr>
        <w:t>imm</w:t>
      </w:r>
      <w:r w:rsidR="00C047C6">
        <w:rPr>
          <w:rFonts w:ascii="Times New Roman" w:eastAsia="Times New Roman" w:hAnsi="Times New Roman" w:cs="Times New Roman"/>
          <w:color w:val="4B4B4C"/>
          <w:sz w:val="22"/>
          <w:szCs w:val="22"/>
          <w:lang w:eastAsia="it-IT"/>
        </w:rPr>
        <w:t xml:space="preserve">issione di </w:t>
      </w:r>
      <w:r w:rsidR="00A844C4">
        <w:rPr>
          <w:rFonts w:ascii="Times New Roman" w:eastAsia="Times New Roman" w:hAnsi="Times New Roman" w:cs="Times New Roman"/>
          <w:color w:val="4B4B4C"/>
          <w:sz w:val="22"/>
          <w:szCs w:val="22"/>
          <w:lang w:eastAsia="it-IT"/>
        </w:rPr>
        <w:t xml:space="preserve">beni (i crediti deteriorati) sul mercato, </w:t>
      </w:r>
      <w:r w:rsidR="00C047C6">
        <w:rPr>
          <w:rFonts w:ascii="Times New Roman" w:eastAsia="Times New Roman" w:hAnsi="Times New Roman" w:cs="Times New Roman"/>
          <w:color w:val="4B4B4C"/>
          <w:sz w:val="22"/>
          <w:szCs w:val="22"/>
          <w:lang w:eastAsia="it-IT"/>
        </w:rPr>
        <w:t>ma dalla necessità di osservare una regola posta a tutela della solidità del sistema bancario.</w:t>
      </w:r>
      <w:r w:rsidR="00776905">
        <w:rPr>
          <w:rFonts w:ascii="Times New Roman" w:eastAsia="Times New Roman" w:hAnsi="Times New Roman" w:cs="Times New Roman"/>
          <w:color w:val="4B4B4C"/>
          <w:sz w:val="22"/>
          <w:szCs w:val="22"/>
          <w:lang w:eastAsia="it-IT"/>
        </w:rPr>
        <w:t xml:space="preserve"> Per le banche l</w:t>
      </w:r>
      <w:r w:rsidR="00501E32">
        <w:rPr>
          <w:rFonts w:ascii="Times New Roman" w:eastAsia="Times New Roman" w:hAnsi="Times New Roman" w:cs="Times New Roman"/>
          <w:color w:val="4B4B4C"/>
          <w:sz w:val="22"/>
          <w:szCs w:val="22"/>
          <w:lang w:eastAsia="it-IT"/>
        </w:rPr>
        <w:t>’</w:t>
      </w:r>
      <w:r w:rsidR="00776905">
        <w:rPr>
          <w:rFonts w:ascii="Times New Roman" w:eastAsia="Times New Roman" w:hAnsi="Times New Roman" w:cs="Times New Roman"/>
          <w:color w:val="4B4B4C"/>
          <w:sz w:val="22"/>
          <w:szCs w:val="22"/>
          <w:lang w:eastAsia="it-IT"/>
        </w:rPr>
        <w:t>immobilizzazione degli accantonamenti necessari per fronteggiare il rischio da insolvenza genera un costo superiore alla dispersione di valore conseguente alla cessione dei portafogli di NPE.</w:t>
      </w:r>
    </w:p>
    <w:p w:rsidR="00EA1C41" w:rsidRDefault="00EA1C41"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Artificiale, in secondo luogo, è la formulazione della domanda, la quale non risponde a bisogni primari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acquirente. I crediti deteriorati non producono utilità in sé, ma nella misura in cui il ricavato dalla loro riscossione coattiva (</w:t>
      </w:r>
      <w:r w:rsidRPr="00EA1C41">
        <w:rPr>
          <w:rFonts w:ascii="Times New Roman" w:eastAsia="Times New Roman" w:hAnsi="Times New Roman" w:cs="Times New Roman"/>
          <w:i/>
          <w:iCs/>
          <w:color w:val="4B4B4C"/>
          <w:sz w:val="22"/>
          <w:szCs w:val="22"/>
          <w:lang w:eastAsia="it-IT"/>
        </w:rPr>
        <w:t>recovery rate</w:t>
      </w:r>
      <w:r>
        <w:rPr>
          <w:rFonts w:ascii="Times New Roman" w:eastAsia="Times New Roman" w:hAnsi="Times New Roman" w:cs="Times New Roman"/>
          <w:color w:val="4B4B4C"/>
          <w:sz w:val="22"/>
          <w:szCs w:val="22"/>
          <w:lang w:eastAsia="it-IT"/>
        </w:rPr>
        <w:t>), rapportato al tempo di immobilizzazione del capitale (</w:t>
      </w:r>
      <w:r w:rsidRPr="00EA1C41">
        <w:rPr>
          <w:rFonts w:ascii="Times New Roman" w:eastAsia="Times New Roman" w:hAnsi="Times New Roman" w:cs="Times New Roman"/>
          <w:i/>
          <w:iCs/>
          <w:color w:val="4B4B4C"/>
          <w:sz w:val="22"/>
          <w:szCs w:val="22"/>
          <w:lang w:eastAsia="it-IT"/>
        </w:rPr>
        <w:t>time to liquidate</w:t>
      </w:r>
      <w:r>
        <w:rPr>
          <w:rFonts w:ascii="Times New Roman" w:eastAsia="Times New Roman" w:hAnsi="Times New Roman" w:cs="Times New Roman"/>
          <w:color w:val="4B4B4C"/>
          <w:sz w:val="22"/>
          <w:szCs w:val="22"/>
          <w:lang w:eastAsia="it-IT"/>
        </w:rPr>
        <w:t>), restituisce all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investitore un ritorno economico maggiore del prezzo di acquisto attualizzato.</w:t>
      </w:r>
      <w:r w:rsidR="003E3FE9">
        <w:rPr>
          <w:rFonts w:ascii="Times New Roman" w:eastAsia="Times New Roman" w:hAnsi="Times New Roman" w:cs="Times New Roman"/>
          <w:color w:val="4B4B4C"/>
          <w:sz w:val="22"/>
          <w:szCs w:val="22"/>
          <w:lang w:eastAsia="it-IT"/>
        </w:rPr>
        <w:t xml:space="preserve"> La scopo pratico cui tende il cessionario dei crediti è meramente finanziario</w:t>
      </w:r>
      <w:r w:rsidR="003E3FE9">
        <w:rPr>
          <w:rStyle w:val="Rimandonotaapidipagina"/>
          <w:rFonts w:ascii="Times New Roman" w:eastAsia="Times New Roman" w:hAnsi="Times New Roman" w:cs="Times New Roman"/>
          <w:color w:val="4B4B4C"/>
          <w:sz w:val="22"/>
          <w:szCs w:val="22"/>
          <w:lang w:eastAsia="it-IT"/>
        </w:rPr>
        <w:footnoteReference w:id="22"/>
      </w:r>
      <w:r w:rsidR="003E3FE9">
        <w:rPr>
          <w:rFonts w:ascii="Times New Roman" w:eastAsia="Times New Roman" w:hAnsi="Times New Roman" w:cs="Times New Roman"/>
          <w:color w:val="4B4B4C"/>
          <w:sz w:val="22"/>
          <w:szCs w:val="22"/>
          <w:lang w:eastAsia="it-IT"/>
        </w:rPr>
        <w:t>. Gli NPE non soddisfano alcun bisogno primario dell</w:t>
      </w:r>
      <w:r w:rsidR="00501E32">
        <w:rPr>
          <w:rFonts w:ascii="Times New Roman" w:eastAsia="Times New Roman" w:hAnsi="Times New Roman" w:cs="Times New Roman"/>
          <w:color w:val="4B4B4C"/>
          <w:sz w:val="22"/>
          <w:szCs w:val="22"/>
          <w:lang w:eastAsia="it-IT"/>
        </w:rPr>
        <w:t>’</w:t>
      </w:r>
      <w:r w:rsidR="003E3FE9">
        <w:rPr>
          <w:rFonts w:ascii="Times New Roman" w:eastAsia="Times New Roman" w:hAnsi="Times New Roman" w:cs="Times New Roman"/>
          <w:color w:val="4B4B4C"/>
          <w:sz w:val="22"/>
          <w:szCs w:val="22"/>
          <w:lang w:eastAsia="it-IT"/>
        </w:rPr>
        <w:t>acquirente, ma rappresentano un</w:t>
      </w:r>
      <w:r w:rsidR="00501E32">
        <w:rPr>
          <w:rFonts w:ascii="Times New Roman" w:eastAsia="Times New Roman" w:hAnsi="Times New Roman" w:cs="Times New Roman"/>
          <w:color w:val="4B4B4C"/>
          <w:sz w:val="22"/>
          <w:szCs w:val="22"/>
          <w:lang w:eastAsia="it-IT"/>
        </w:rPr>
        <w:t>’</w:t>
      </w:r>
      <w:r w:rsidR="003E3FE9">
        <w:rPr>
          <w:rFonts w:ascii="Times New Roman" w:eastAsia="Times New Roman" w:hAnsi="Times New Roman" w:cs="Times New Roman"/>
          <w:color w:val="4B4B4C"/>
          <w:sz w:val="22"/>
          <w:szCs w:val="22"/>
          <w:lang w:eastAsia="it-IT"/>
        </w:rPr>
        <w:t>occasione per allocare investimenti in un</w:t>
      </w:r>
      <w:r w:rsidR="00501E32">
        <w:rPr>
          <w:rFonts w:ascii="Times New Roman" w:eastAsia="Times New Roman" w:hAnsi="Times New Roman" w:cs="Times New Roman"/>
          <w:color w:val="4B4B4C"/>
          <w:sz w:val="22"/>
          <w:szCs w:val="22"/>
          <w:lang w:eastAsia="it-IT"/>
        </w:rPr>
        <w:t>’</w:t>
      </w:r>
      <w:r w:rsidR="003E3FE9">
        <w:rPr>
          <w:rFonts w:ascii="Times New Roman" w:eastAsia="Times New Roman" w:hAnsi="Times New Roman" w:cs="Times New Roman"/>
          <w:color w:val="4B4B4C"/>
          <w:sz w:val="22"/>
          <w:szCs w:val="22"/>
          <w:lang w:eastAsia="it-IT"/>
        </w:rPr>
        <w:t>operazione ritenuta più remunerativa del costo del denaro impiegato.</w:t>
      </w:r>
    </w:p>
    <w:p w:rsidR="00C047C6" w:rsidRDefault="00EA1C41"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Ed ancora, è artificiale – nel senso che è una creazione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ordinamento giuridico – la natura del bene stesso che circola nel mercato</w:t>
      </w:r>
      <w:r w:rsidR="004832F8">
        <w:rPr>
          <w:rFonts w:ascii="Times New Roman" w:eastAsia="Times New Roman" w:hAnsi="Times New Roman" w:cs="Times New Roman"/>
          <w:color w:val="4B4B4C"/>
          <w:sz w:val="22"/>
          <w:szCs w:val="22"/>
          <w:lang w:eastAsia="it-IT"/>
        </w:rPr>
        <w:t>. I crediti sono beni immateriali che essi esistono in quanto riconosciuti</w:t>
      </w:r>
      <w:r w:rsidR="003B5F67">
        <w:rPr>
          <w:rFonts w:ascii="Times New Roman" w:eastAsia="Times New Roman" w:hAnsi="Times New Roman" w:cs="Times New Roman"/>
          <w:color w:val="4B4B4C"/>
          <w:sz w:val="22"/>
          <w:szCs w:val="22"/>
          <w:lang w:eastAsia="it-IT"/>
        </w:rPr>
        <w:t>, tutelati e garanti</w:t>
      </w:r>
      <w:r w:rsidR="004832F8">
        <w:rPr>
          <w:rFonts w:ascii="Times New Roman" w:eastAsia="Times New Roman" w:hAnsi="Times New Roman" w:cs="Times New Roman"/>
          <w:color w:val="4B4B4C"/>
          <w:sz w:val="22"/>
          <w:szCs w:val="22"/>
          <w:lang w:eastAsia="it-IT"/>
        </w:rPr>
        <w:t xml:space="preserve"> dall</w:t>
      </w:r>
      <w:r w:rsidR="00501E32">
        <w:rPr>
          <w:rFonts w:ascii="Times New Roman" w:eastAsia="Times New Roman" w:hAnsi="Times New Roman" w:cs="Times New Roman"/>
          <w:color w:val="4B4B4C"/>
          <w:sz w:val="22"/>
          <w:szCs w:val="22"/>
          <w:lang w:eastAsia="it-IT"/>
        </w:rPr>
        <w:t>’</w:t>
      </w:r>
      <w:r w:rsidR="004832F8">
        <w:rPr>
          <w:rFonts w:ascii="Times New Roman" w:eastAsia="Times New Roman" w:hAnsi="Times New Roman" w:cs="Times New Roman"/>
          <w:color w:val="4B4B4C"/>
          <w:sz w:val="22"/>
          <w:szCs w:val="22"/>
          <w:lang w:eastAsia="it-IT"/>
        </w:rPr>
        <w:t>ordinamento</w:t>
      </w:r>
      <w:r w:rsidR="00610965">
        <w:rPr>
          <w:rFonts w:ascii="Times New Roman" w:eastAsia="Times New Roman" w:hAnsi="Times New Roman" w:cs="Times New Roman"/>
          <w:color w:val="4B4B4C"/>
          <w:sz w:val="22"/>
          <w:szCs w:val="22"/>
          <w:lang w:eastAsia="it-IT"/>
        </w:rPr>
        <w:t xml:space="preserve">. La diatriba giurisprudenziale, in tema di validità del mutuo fondiario, sulle conseguenze del superamento del </w:t>
      </w:r>
      <w:r w:rsidR="00610965" w:rsidRPr="00610965">
        <w:rPr>
          <w:rFonts w:ascii="Times New Roman" w:eastAsia="Times New Roman" w:hAnsi="Times New Roman" w:cs="Times New Roman"/>
          <w:color w:val="4B4B4C"/>
          <w:sz w:val="22"/>
          <w:szCs w:val="22"/>
          <w:lang w:eastAsia="it-IT"/>
        </w:rPr>
        <w:t>limite di finanziabilità imposto dall</w:t>
      </w:r>
      <w:r w:rsidR="00501E32">
        <w:rPr>
          <w:rFonts w:ascii="Times New Roman" w:eastAsia="Times New Roman" w:hAnsi="Times New Roman" w:cs="Times New Roman"/>
          <w:color w:val="4B4B4C"/>
          <w:sz w:val="22"/>
          <w:szCs w:val="22"/>
          <w:lang w:eastAsia="it-IT"/>
        </w:rPr>
        <w:t>’</w:t>
      </w:r>
      <w:r w:rsidR="00610965" w:rsidRPr="00610965">
        <w:rPr>
          <w:rFonts w:ascii="Times New Roman" w:eastAsia="Times New Roman" w:hAnsi="Times New Roman" w:cs="Times New Roman"/>
          <w:color w:val="4B4B4C"/>
          <w:sz w:val="22"/>
          <w:szCs w:val="22"/>
          <w:lang w:eastAsia="it-IT"/>
        </w:rPr>
        <w:t>art. 38, comma 2, del d.lgs. n. 385 del 1993</w:t>
      </w:r>
      <w:r w:rsidR="00610965">
        <w:rPr>
          <w:rStyle w:val="Rimandonotaapidipagina"/>
          <w:rFonts w:ascii="Times New Roman" w:eastAsia="Times New Roman" w:hAnsi="Times New Roman" w:cs="Times New Roman"/>
          <w:color w:val="4B4B4C"/>
          <w:sz w:val="22"/>
          <w:szCs w:val="22"/>
          <w:lang w:eastAsia="it-IT"/>
        </w:rPr>
        <w:footnoteReference w:id="23"/>
      </w:r>
      <w:r w:rsidR="00610965">
        <w:rPr>
          <w:rFonts w:ascii="Times New Roman" w:eastAsia="Times New Roman" w:hAnsi="Times New Roman" w:cs="Times New Roman"/>
          <w:color w:val="4B4B4C"/>
          <w:sz w:val="22"/>
          <w:szCs w:val="22"/>
          <w:lang w:eastAsia="it-IT"/>
        </w:rPr>
        <w:t xml:space="preserve"> è esemplificativa di quanto l</w:t>
      </w:r>
      <w:r w:rsidR="00501E32">
        <w:rPr>
          <w:rFonts w:ascii="Times New Roman" w:eastAsia="Times New Roman" w:hAnsi="Times New Roman" w:cs="Times New Roman"/>
          <w:color w:val="4B4B4C"/>
          <w:sz w:val="22"/>
          <w:szCs w:val="22"/>
          <w:lang w:eastAsia="it-IT"/>
        </w:rPr>
        <w:t>’</w:t>
      </w:r>
      <w:r w:rsidR="00610965">
        <w:rPr>
          <w:rFonts w:ascii="Times New Roman" w:eastAsia="Times New Roman" w:hAnsi="Times New Roman" w:cs="Times New Roman"/>
          <w:color w:val="4B4B4C"/>
          <w:sz w:val="22"/>
          <w:szCs w:val="22"/>
          <w:lang w:eastAsia="it-IT"/>
        </w:rPr>
        <w:t xml:space="preserve">esistenza dei beni </w:t>
      </w:r>
      <w:r w:rsidR="00610965">
        <w:rPr>
          <w:rFonts w:ascii="Times New Roman" w:eastAsia="Times New Roman" w:hAnsi="Times New Roman" w:cs="Times New Roman"/>
          <w:color w:val="4B4B4C"/>
          <w:sz w:val="22"/>
          <w:szCs w:val="22"/>
          <w:lang w:eastAsia="it-IT"/>
        </w:rPr>
        <w:lastRenderedPageBreak/>
        <w:t xml:space="preserve">oggetto di negoziazione nel mercato degli NPE dipenda in massima parte dalla </w:t>
      </w:r>
      <w:r w:rsidR="008A6E92">
        <w:rPr>
          <w:rFonts w:ascii="Times New Roman" w:eastAsia="Times New Roman" w:hAnsi="Times New Roman" w:cs="Times New Roman"/>
          <w:color w:val="4B4B4C"/>
          <w:sz w:val="22"/>
          <w:szCs w:val="22"/>
          <w:lang w:eastAsia="it-IT"/>
        </w:rPr>
        <w:t>qualificazione giuridica della fattispecie</w:t>
      </w:r>
      <w:r w:rsidR="008A6E92">
        <w:rPr>
          <w:rStyle w:val="Rimandonotaapidipagina"/>
          <w:rFonts w:ascii="Times New Roman" w:eastAsia="Times New Roman" w:hAnsi="Times New Roman" w:cs="Times New Roman"/>
          <w:color w:val="4B4B4C"/>
          <w:sz w:val="22"/>
          <w:szCs w:val="22"/>
          <w:lang w:eastAsia="it-IT"/>
        </w:rPr>
        <w:footnoteReference w:id="24"/>
      </w:r>
      <w:r w:rsidR="004832F8">
        <w:rPr>
          <w:rFonts w:ascii="Times New Roman" w:eastAsia="Times New Roman" w:hAnsi="Times New Roman" w:cs="Times New Roman"/>
          <w:color w:val="4B4B4C"/>
          <w:sz w:val="22"/>
          <w:szCs w:val="22"/>
          <w:lang w:eastAsia="it-IT"/>
        </w:rPr>
        <w:t xml:space="preserve">. </w:t>
      </w:r>
    </w:p>
    <w:p w:rsidR="003B5F67" w:rsidRDefault="004832F8"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È artificiale</w:t>
      </w:r>
      <w:r w:rsidR="0014713E">
        <w:rPr>
          <w:rFonts w:ascii="Times New Roman" w:eastAsia="Times New Roman" w:hAnsi="Times New Roman" w:cs="Times New Roman"/>
          <w:color w:val="4B4B4C"/>
          <w:sz w:val="22"/>
          <w:szCs w:val="22"/>
          <w:lang w:eastAsia="it-IT"/>
        </w:rPr>
        <w:t xml:space="preserve">, almeno in parte, </w:t>
      </w:r>
      <w:r>
        <w:rPr>
          <w:rFonts w:ascii="Times New Roman" w:eastAsia="Times New Roman" w:hAnsi="Times New Roman" w:cs="Times New Roman"/>
          <w:color w:val="4B4B4C"/>
          <w:sz w:val="22"/>
          <w:szCs w:val="22"/>
          <w:lang w:eastAsia="it-IT"/>
        </w:rPr>
        <w:t>la determinazione del valore di scambio</w:t>
      </w:r>
      <w:r w:rsidR="003B5F67">
        <w:rPr>
          <w:rFonts w:ascii="Times New Roman" w:eastAsia="Times New Roman" w:hAnsi="Times New Roman" w:cs="Times New Roman"/>
          <w:color w:val="4B4B4C"/>
          <w:sz w:val="22"/>
          <w:szCs w:val="22"/>
          <w:lang w:eastAsia="it-IT"/>
        </w:rPr>
        <w:t xml:space="preserve"> dei crediti deteriorati, solitamente indicato in una misura percentuale della sorte capitale o del debito residuo. </w:t>
      </w:r>
      <w:r w:rsidR="0010556B">
        <w:rPr>
          <w:rFonts w:ascii="Times New Roman" w:eastAsia="Times New Roman" w:hAnsi="Times New Roman" w:cs="Times New Roman"/>
          <w:color w:val="4B4B4C"/>
          <w:sz w:val="22"/>
          <w:szCs w:val="22"/>
          <w:lang w:eastAsia="it-IT"/>
        </w:rPr>
        <w:t>T</w:t>
      </w:r>
      <w:r w:rsidR="003B5F67">
        <w:rPr>
          <w:rFonts w:ascii="Times New Roman" w:eastAsia="Times New Roman" w:hAnsi="Times New Roman" w:cs="Times New Roman"/>
          <w:color w:val="4B4B4C"/>
          <w:sz w:val="22"/>
          <w:szCs w:val="22"/>
          <w:lang w:eastAsia="it-IT"/>
        </w:rPr>
        <w:t xml:space="preserve">ale percentuale dipende </w:t>
      </w:r>
      <w:r w:rsidR="0010556B">
        <w:rPr>
          <w:rFonts w:ascii="Times New Roman" w:eastAsia="Times New Roman" w:hAnsi="Times New Roman" w:cs="Times New Roman"/>
          <w:color w:val="4B4B4C"/>
          <w:sz w:val="22"/>
          <w:szCs w:val="22"/>
          <w:lang w:eastAsia="it-IT"/>
        </w:rPr>
        <w:t>certamente dal grado di solvibilità del debitore</w:t>
      </w:r>
      <w:r w:rsidR="00490722">
        <w:rPr>
          <w:rFonts w:ascii="Times New Roman" w:eastAsia="Times New Roman" w:hAnsi="Times New Roman" w:cs="Times New Roman"/>
          <w:color w:val="4B4B4C"/>
          <w:sz w:val="22"/>
          <w:szCs w:val="22"/>
          <w:lang w:eastAsia="it-IT"/>
        </w:rPr>
        <w:t xml:space="preserve"> o dal presumibile valore di realizzo del bene oggetto di garanzia reale</w:t>
      </w:r>
      <w:r w:rsidR="0010556B">
        <w:rPr>
          <w:rFonts w:ascii="Times New Roman" w:eastAsia="Times New Roman" w:hAnsi="Times New Roman" w:cs="Times New Roman"/>
          <w:color w:val="4B4B4C"/>
          <w:sz w:val="22"/>
          <w:szCs w:val="22"/>
          <w:lang w:eastAsia="it-IT"/>
        </w:rPr>
        <w:t xml:space="preserve">, ma anche </w:t>
      </w:r>
      <w:r w:rsidR="003B5F67">
        <w:rPr>
          <w:rFonts w:ascii="Times New Roman" w:eastAsia="Times New Roman" w:hAnsi="Times New Roman" w:cs="Times New Roman"/>
          <w:color w:val="4B4B4C"/>
          <w:sz w:val="22"/>
          <w:szCs w:val="22"/>
          <w:lang w:eastAsia="it-IT"/>
        </w:rPr>
        <w:t>dalla qualità del credito – chirografario o privilegiato – e, nel secondo caso, dal grado del privilegio</w:t>
      </w:r>
      <w:r w:rsidR="003E3FE9">
        <w:rPr>
          <w:rStyle w:val="Rimandonotaapidipagina"/>
          <w:rFonts w:ascii="Times New Roman" w:eastAsia="Times New Roman" w:hAnsi="Times New Roman" w:cs="Times New Roman"/>
          <w:color w:val="4B4B4C"/>
          <w:sz w:val="22"/>
          <w:szCs w:val="22"/>
          <w:lang w:eastAsia="it-IT"/>
        </w:rPr>
        <w:footnoteReference w:id="25"/>
      </w:r>
      <w:r w:rsidR="003B5F67">
        <w:rPr>
          <w:rFonts w:ascii="Times New Roman" w:eastAsia="Times New Roman" w:hAnsi="Times New Roman" w:cs="Times New Roman"/>
          <w:color w:val="4B4B4C"/>
          <w:sz w:val="22"/>
          <w:szCs w:val="22"/>
          <w:lang w:eastAsia="it-IT"/>
        </w:rPr>
        <w:t>; attributi per definizione artificiali, cioè assegnati dal diritto positivo.</w:t>
      </w:r>
      <w:r w:rsidR="0010556B">
        <w:rPr>
          <w:rFonts w:ascii="Times New Roman" w:eastAsia="Times New Roman" w:hAnsi="Times New Roman" w:cs="Times New Roman"/>
          <w:color w:val="4B4B4C"/>
          <w:sz w:val="22"/>
          <w:szCs w:val="22"/>
          <w:lang w:eastAsia="it-IT"/>
        </w:rPr>
        <w:t xml:space="preserve"> E sulla determinazione del valore di un credito deteriorato incide pure l</w:t>
      </w:r>
      <w:r w:rsidR="00501E32">
        <w:rPr>
          <w:rFonts w:ascii="Times New Roman" w:eastAsia="Times New Roman" w:hAnsi="Times New Roman" w:cs="Times New Roman"/>
          <w:color w:val="4B4B4C"/>
          <w:sz w:val="22"/>
          <w:szCs w:val="22"/>
          <w:lang w:eastAsia="it-IT"/>
        </w:rPr>
        <w:t>’</w:t>
      </w:r>
      <w:r w:rsidR="0010556B">
        <w:rPr>
          <w:rFonts w:ascii="Times New Roman" w:eastAsia="Times New Roman" w:hAnsi="Times New Roman" w:cs="Times New Roman"/>
          <w:color w:val="4B4B4C"/>
          <w:sz w:val="22"/>
          <w:szCs w:val="22"/>
          <w:lang w:eastAsia="it-IT"/>
        </w:rPr>
        <w:t>indice di efficienza dell</w:t>
      </w:r>
      <w:r w:rsidR="00501E32">
        <w:rPr>
          <w:rFonts w:ascii="Times New Roman" w:eastAsia="Times New Roman" w:hAnsi="Times New Roman" w:cs="Times New Roman"/>
          <w:color w:val="4B4B4C"/>
          <w:sz w:val="22"/>
          <w:szCs w:val="22"/>
          <w:lang w:eastAsia="it-IT"/>
        </w:rPr>
        <w:t>’</w:t>
      </w:r>
      <w:r w:rsidR="0010556B">
        <w:rPr>
          <w:rFonts w:ascii="Times New Roman" w:eastAsia="Times New Roman" w:hAnsi="Times New Roman" w:cs="Times New Roman"/>
          <w:color w:val="4B4B4C"/>
          <w:sz w:val="22"/>
          <w:szCs w:val="22"/>
          <w:lang w:eastAsia="it-IT"/>
        </w:rPr>
        <w:t xml:space="preserve">apparato giudiziario e, in particolare, del tribunale innanzi al quale si svolgerà il recupero coattivo; circostanze, queste ultime, che sebbene </w:t>
      </w:r>
      <w:r w:rsidR="00490722">
        <w:rPr>
          <w:rFonts w:ascii="Times New Roman" w:eastAsia="Times New Roman" w:hAnsi="Times New Roman" w:cs="Times New Roman"/>
          <w:color w:val="4B4B4C"/>
          <w:sz w:val="22"/>
          <w:szCs w:val="22"/>
          <w:lang w:eastAsia="it-IT"/>
        </w:rPr>
        <w:t xml:space="preserve">si colgano in punto </w:t>
      </w:r>
      <w:r w:rsidR="0010556B">
        <w:rPr>
          <w:rFonts w:ascii="Times New Roman" w:eastAsia="Times New Roman" w:hAnsi="Times New Roman" w:cs="Times New Roman"/>
          <w:color w:val="4B4B4C"/>
          <w:sz w:val="22"/>
          <w:szCs w:val="22"/>
          <w:lang w:eastAsia="it-IT"/>
        </w:rPr>
        <w:t>di fatto sono comunque influenzate da scelte di politica giudiziaria.</w:t>
      </w:r>
    </w:p>
    <w:p w:rsidR="0010556B" w:rsidRDefault="0014713E"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Infine, sono artificiali anche le regole e gli strumenti giuridici di circolazione. Ovviamente, </w:t>
      </w:r>
      <w:r w:rsidR="00A64580">
        <w:rPr>
          <w:rFonts w:ascii="Times New Roman" w:eastAsia="Times New Roman" w:hAnsi="Times New Roman" w:cs="Times New Roman"/>
          <w:color w:val="4B4B4C"/>
          <w:sz w:val="22"/>
          <w:szCs w:val="22"/>
          <w:lang w:eastAsia="it-IT"/>
        </w:rPr>
        <w:t>la qualificazione giuridica del negozio è sempre riservata all</w:t>
      </w:r>
      <w:r w:rsidR="00501E32">
        <w:rPr>
          <w:rFonts w:ascii="Times New Roman" w:eastAsia="Times New Roman" w:hAnsi="Times New Roman" w:cs="Times New Roman"/>
          <w:color w:val="4B4B4C"/>
          <w:sz w:val="22"/>
          <w:szCs w:val="22"/>
          <w:lang w:eastAsia="it-IT"/>
        </w:rPr>
        <w:t>’</w:t>
      </w:r>
      <w:r w:rsidR="00A64580">
        <w:rPr>
          <w:rFonts w:ascii="Times New Roman" w:eastAsia="Times New Roman" w:hAnsi="Times New Roman" w:cs="Times New Roman"/>
          <w:color w:val="4B4B4C"/>
          <w:sz w:val="22"/>
          <w:szCs w:val="22"/>
          <w:lang w:eastAsia="it-IT"/>
        </w:rPr>
        <w:t>ordinamento, ma nel caso dei crediti deteriorati – in quanto beni immateriali – l</w:t>
      </w:r>
      <w:r w:rsidR="00501E32">
        <w:rPr>
          <w:rFonts w:ascii="Times New Roman" w:eastAsia="Times New Roman" w:hAnsi="Times New Roman" w:cs="Times New Roman"/>
          <w:color w:val="4B4B4C"/>
          <w:sz w:val="22"/>
          <w:szCs w:val="22"/>
          <w:lang w:eastAsia="it-IT"/>
        </w:rPr>
        <w:t>’</w:t>
      </w:r>
      <w:r w:rsidR="00A64580">
        <w:rPr>
          <w:rFonts w:ascii="Times New Roman" w:eastAsia="Times New Roman" w:hAnsi="Times New Roman" w:cs="Times New Roman"/>
          <w:color w:val="4B4B4C"/>
          <w:sz w:val="22"/>
          <w:szCs w:val="22"/>
          <w:lang w:eastAsia="it-IT"/>
        </w:rPr>
        <w:t>essenza stessa del trasferimento è rimessa integralmente al controllo dell</w:t>
      </w:r>
      <w:r w:rsidR="00501E32">
        <w:rPr>
          <w:rFonts w:ascii="Times New Roman" w:eastAsia="Times New Roman" w:hAnsi="Times New Roman" w:cs="Times New Roman"/>
          <w:color w:val="4B4B4C"/>
          <w:sz w:val="22"/>
          <w:szCs w:val="22"/>
          <w:lang w:eastAsia="it-IT"/>
        </w:rPr>
        <w:t>’</w:t>
      </w:r>
      <w:r w:rsidR="00A64580">
        <w:rPr>
          <w:rFonts w:ascii="Times New Roman" w:eastAsia="Times New Roman" w:hAnsi="Times New Roman" w:cs="Times New Roman"/>
          <w:color w:val="4B4B4C"/>
          <w:sz w:val="22"/>
          <w:szCs w:val="22"/>
          <w:lang w:eastAsia="it-IT"/>
        </w:rPr>
        <w:t xml:space="preserve">ordinamento </w:t>
      </w:r>
      <w:r w:rsidR="003E3FE9">
        <w:rPr>
          <w:rFonts w:ascii="Times New Roman" w:eastAsia="Times New Roman" w:hAnsi="Times New Roman" w:cs="Times New Roman"/>
          <w:color w:val="4B4B4C"/>
          <w:sz w:val="22"/>
          <w:szCs w:val="22"/>
          <w:lang w:eastAsia="it-IT"/>
        </w:rPr>
        <w:t xml:space="preserve">e si configura come un mero effetto </w:t>
      </w:r>
      <w:r w:rsidR="00A64580">
        <w:rPr>
          <w:rFonts w:ascii="Times New Roman" w:eastAsia="Times New Roman" w:hAnsi="Times New Roman" w:cs="Times New Roman"/>
          <w:color w:val="4B4B4C"/>
          <w:sz w:val="22"/>
          <w:szCs w:val="22"/>
          <w:lang w:eastAsia="it-IT"/>
        </w:rPr>
        <w:t>giuridico</w:t>
      </w:r>
      <w:r w:rsidR="00490722">
        <w:rPr>
          <w:rFonts w:ascii="Times New Roman" w:eastAsia="Times New Roman" w:hAnsi="Times New Roman" w:cs="Times New Roman"/>
          <w:color w:val="4B4B4C"/>
          <w:sz w:val="22"/>
          <w:szCs w:val="22"/>
          <w:lang w:eastAsia="it-IT"/>
        </w:rPr>
        <w:t xml:space="preserve">, non </w:t>
      </w:r>
      <w:r w:rsidR="00490722">
        <w:rPr>
          <w:rFonts w:ascii="Times New Roman" w:eastAsia="Times New Roman" w:hAnsi="Times New Roman" w:cs="Times New Roman"/>
          <w:color w:val="4B4B4C"/>
          <w:sz w:val="22"/>
          <w:szCs w:val="22"/>
          <w:lang w:eastAsia="it-IT"/>
        </w:rPr>
        <w:lastRenderedPageBreak/>
        <w:t xml:space="preserve">essendo configurabile la </w:t>
      </w:r>
      <w:r w:rsidR="00490722" w:rsidRPr="00490722">
        <w:rPr>
          <w:rFonts w:ascii="Times New Roman" w:eastAsia="Times New Roman" w:hAnsi="Times New Roman" w:cs="Times New Roman"/>
          <w:i/>
          <w:iCs/>
          <w:color w:val="4B4B4C"/>
          <w:sz w:val="22"/>
          <w:szCs w:val="22"/>
          <w:lang w:eastAsia="it-IT"/>
        </w:rPr>
        <w:t>traditio</w:t>
      </w:r>
      <w:r w:rsidR="00490722">
        <w:rPr>
          <w:rFonts w:ascii="Times New Roman" w:eastAsia="Times New Roman" w:hAnsi="Times New Roman" w:cs="Times New Roman"/>
          <w:color w:val="4B4B4C"/>
          <w:sz w:val="22"/>
          <w:szCs w:val="22"/>
          <w:lang w:eastAsia="it-IT"/>
        </w:rPr>
        <w:t xml:space="preserve"> né, più genericamente, la tutela del possesso</w:t>
      </w:r>
      <w:r w:rsidR="00A64580">
        <w:rPr>
          <w:rFonts w:ascii="Times New Roman" w:eastAsia="Times New Roman" w:hAnsi="Times New Roman" w:cs="Times New Roman"/>
          <w:color w:val="4B4B4C"/>
          <w:sz w:val="22"/>
          <w:szCs w:val="22"/>
          <w:lang w:eastAsia="it-IT"/>
        </w:rPr>
        <w:t xml:space="preserve">. Così come artificiale, in quanto introdotta per legge, è la garanzia </w:t>
      </w:r>
      <w:r w:rsidR="00AA3255">
        <w:rPr>
          <w:rFonts w:ascii="Times New Roman" w:eastAsia="Times New Roman" w:hAnsi="Times New Roman" w:cs="Times New Roman"/>
          <w:color w:val="4B4B4C"/>
          <w:sz w:val="22"/>
          <w:szCs w:val="22"/>
          <w:lang w:eastAsia="it-IT"/>
        </w:rPr>
        <w:t xml:space="preserve">sulla cartolarizzazione delle sofferenze offerta dalla Stato </w:t>
      </w:r>
      <w:r w:rsidR="00A64580">
        <w:rPr>
          <w:rFonts w:ascii="Times New Roman" w:eastAsia="Times New Roman" w:hAnsi="Times New Roman" w:cs="Times New Roman"/>
          <w:color w:val="4B4B4C"/>
          <w:sz w:val="22"/>
          <w:szCs w:val="22"/>
          <w:lang w:eastAsia="it-IT"/>
        </w:rPr>
        <w:t>(GACS)</w:t>
      </w:r>
      <w:r w:rsidR="001C3328">
        <w:rPr>
          <w:rStyle w:val="Rimandonotaapidipagina"/>
          <w:rFonts w:ascii="Times New Roman" w:eastAsia="Times New Roman" w:hAnsi="Times New Roman" w:cs="Times New Roman"/>
          <w:color w:val="4B4B4C"/>
          <w:sz w:val="22"/>
          <w:szCs w:val="22"/>
          <w:lang w:eastAsia="it-IT"/>
        </w:rPr>
        <w:footnoteReference w:id="26"/>
      </w:r>
      <w:r w:rsidR="00AA3255">
        <w:rPr>
          <w:rFonts w:ascii="Times New Roman" w:eastAsia="Times New Roman" w:hAnsi="Times New Roman" w:cs="Times New Roman"/>
          <w:color w:val="4B4B4C"/>
          <w:sz w:val="22"/>
          <w:szCs w:val="22"/>
          <w:lang w:eastAsia="it-IT"/>
        </w:rPr>
        <w:t>.</w:t>
      </w:r>
    </w:p>
    <w:p w:rsidR="007129CD" w:rsidRPr="00A51068" w:rsidRDefault="00490722" w:rsidP="00B106E0">
      <w:pPr>
        <w:spacing w:line="360" w:lineRule="auto"/>
        <w:jc w:val="both"/>
        <w:rPr>
          <w:rFonts w:ascii="Times New Roman" w:eastAsia="Times New Roman" w:hAnsi="Times New Roman" w:cs="Times New Roman"/>
          <w:sz w:val="22"/>
          <w:szCs w:val="22"/>
          <w:lang w:eastAsia="it-IT"/>
        </w:rPr>
      </w:pPr>
      <w:r w:rsidRPr="00A51068">
        <w:rPr>
          <w:rFonts w:ascii="Times New Roman" w:eastAsia="Times New Roman" w:hAnsi="Times New Roman" w:cs="Times New Roman"/>
          <w:sz w:val="22"/>
          <w:szCs w:val="22"/>
          <w:lang w:eastAsia="it-IT"/>
        </w:rPr>
        <w:t xml:space="preserve">Tutto ciò </w:t>
      </w:r>
      <w:r w:rsidR="007129CD" w:rsidRPr="00A51068">
        <w:rPr>
          <w:rFonts w:ascii="Times New Roman" w:eastAsia="Times New Roman" w:hAnsi="Times New Roman" w:cs="Times New Roman"/>
          <w:sz w:val="22"/>
          <w:szCs w:val="22"/>
          <w:lang w:eastAsia="it-IT"/>
        </w:rPr>
        <w:t>dovrebbe condurre alla condivisione dell</w:t>
      </w:r>
      <w:r w:rsidR="00501E32">
        <w:rPr>
          <w:rFonts w:ascii="Times New Roman" w:eastAsia="Times New Roman" w:hAnsi="Times New Roman" w:cs="Times New Roman"/>
          <w:sz w:val="22"/>
          <w:szCs w:val="22"/>
          <w:lang w:eastAsia="it-IT"/>
        </w:rPr>
        <w:t>’</w:t>
      </w:r>
      <w:r w:rsidR="007129CD" w:rsidRPr="00A51068">
        <w:rPr>
          <w:rFonts w:ascii="Times New Roman" w:eastAsia="Times New Roman" w:hAnsi="Times New Roman" w:cs="Times New Roman"/>
          <w:sz w:val="22"/>
          <w:szCs w:val="22"/>
          <w:lang w:eastAsia="it-IT"/>
        </w:rPr>
        <w:t>idea di chi sostiene che il concetto di mercato «</w:t>
      </w:r>
      <w:r w:rsidR="007129CD" w:rsidRPr="00A51068">
        <w:rPr>
          <w:rFonts w:ascii="Times New Roman" w:eastAsia="Times New Roman" w:hAnsi="Times New Roman" w:cs="Times New Roman"/>
          <w:i/>
          <w:iCs/>
          <w:sz w:val="22"/>
          <w:szCs w:val="22"/>
          <w:lang w:eastAsia="it-IT"/>
        </w:rPr>
        <w:t>si presta non tanto ad identificare una tipologia della realtà sociale al fine di determinare l</w:t>
      </w:r>
      <w:r w:rsidR="00501E32">
        <w:rPr>
          <w:rFonts w:ascii="Times New Roman" w:eastAsia="Times New Roman" w:hAnsi="Times New Roman" w:cs="Times New Roman"/>
          <w:i/>
          <w:iCs/>
          <w:sz w:val="22"/>
          <w:szCs w:val="22"/>
          <w:lang w:eastAsia="it-IT"/>
        </w:rPr>
        <w:t>’</w:t>
      </w:r>
      <w:r w:rsidR="007129CD" w:rsidRPr="00A51068">
        <w:rPr>
          <w:rFonts w:ascii="Times New Roman" w:eastAsia="Times New Roman" w:hAnsi="Times New Roman" w:cs="Times New Roman"/>
          <w:i/>
          <w:iCs/>
          <w:sz w:val="22"/>
          <w:szCs w:val="22"/>
          <w:lang w:eastAsia="it-IT"/>
        </w:rPr>
        <w:t>ambito di applicazione di una disciplina, ma ponendosi piuttosto,</w:t>
      </w:r>
      <w:r w:rsidR="007129CD" w:rsidRPr="00A51068">
        <w:rPr>
          <w:rFonts w:ascii="Times New Roman" w:eastAsia="Times New Roman" w:hAnsi="Times New Roman" w:cs="Times New Roman"/>
          <w:sz w:val="22"/>
          <w:szCs w:val="22"/>
          <w:lang w:eastAsia="it-IT"/>
        </w:rPr>
        <w:t xml:space="preserve"> sub specie i</w:t>
      </w:r>
      <w:r w:rsidR="008B714F" w:rsidRPr="00A51068">
        <w:rPr>
          <w:rFonts w:ascii="Times New Roman" w:eastAsia="Times New Roman" w:hAnsi="Times New Roman" w:cs="Times New Roman"/>
          <w:sz w:val="22"/>
          <w:szCs w:val="22"/>
          <w:lang w:eastAsia="it-IT"/>
        </w:rPr>
        <w:t>u</w:t>
      </w:r>
      <w:r w:rsidR="007129CD" w:rsidRPr="00A51068">
        <w:rPr>
          <w:rFonts w:ascii="Times New Roman" w:eastAsia="Times New Roman" w:hAnsi="Times New Roman" w:cs="Times New Roman"/>
          <w:sz w:val="22"/>
          <w:szCs w:val="22"/>
          <w:lang w:eastAsia="it-IT"/>
        </w:rPr>
        <w:t>ris</w:t>
      </w:r>
      <w:r w:rsidR="007129CD" w:rsidRPr="00A51068">
        <w:rPr>
          <w:rFonts w:ascii="Times New Roman" w:eastAsia="Times New Roman" w:hAnsi="Times New Roman" w:cs="Times New Roman"/>
          <w:i/>
          <w:iCs/>
          <w:sz w:val="22"/>
          <w:szCs w:val="22"/>
          <w:lang w:eastAsia="it-IT"/>
        </w:rPr>
        <w:t>, come concetto che ha la funzione di esprimere, in forma riassuntiva, una determinata normativa</w:t>
      </w:r>
      <w:r w:rsidR="007129CD" w:rsidRPr="00A51068">
        <w:rPr>
          <w:rFonts w:ascii="Times New Roman" w:eastAsia="Times New Roman" w:hAnsi="Times New Roman" w:cs="Times New Roman"/>
          <w:sz w:val="22"/>
          <w:szCs w:val="22"/>
          <w:lang w:eastAsia="it-IT"/>
        </w:rPr>
        <w:t>»</w:t>
      </w:r>
      <w:r w:rsidR="007129CD" w:rsidRPr="00A51068">
        <w:rPr>
          <w:rStyle w:val="Rimandonotaapidipagina"/>
          <w:rFonts w:ascii="Times New Roman" w:eastAsia="Times New Roman" w:hAnsi="Times New Roman" w:cs="Times New Roman"/>
          <w:sz w:val="22"/>
          <w:szCs w:val="22"/>
          <w:lang w:eastAsia="it-IT"/>
        </w:rPr>
        <w:footnoteReference w:id="27"/>
      </w:r>
      <w:r w:rsidR="007129CD" w:rsidRPr="00A51068">
        <w:rPr>
          <w:rFonts w:ascii="Times New Roman" w:eastAsia="Times New Roman" w:hAnsi="Times New Roman" w:cs="Times New Roman"/>
          <w:sz w:val="22"/>
          <w:szCs w:val="22"/>
          <w:lang w:eastAsia="it-IT"/>
        </w:rPr>
        <w:t>. Con la conseguenza che, dunque, che la nozione di mercato non è unitaria, ma esistono tanti diversi mercati quante sono le discipline di settore che governano specifici complessi di scambi commerciali, conformandone il contenuto, individuando i soggetti legittimati ad operarvi e dettando i relativi criteri ordinanti</w:t>
      </w:r>
      <w:r w:rsidR="00501E32">
        <w:rPr>
          <w:rStyle w:val="Rimandonotaapidipagina"/>
          <w:rFonts w:ascii="Times New Roman" w:eastAsia="Times New Roman" w:hAnsi="Times New Roman" w:cs="Times New Roman"/>
          <w:sz w:val="22"/>
          <w:szCs w:val="22"/>
          <w:lang w:eastAsia="it-IT"/>
        </w:rPr>
        <w:footnoteReference w:id="28"/>
      </w:r>
      <w:r w:rsidR="007129CD" w:rsidRPr="00A51068">
        <w:rPr>
          <w:rFonts w:ascii="Times New Roman" w:eastAsia="Times New Roman" w:hAnsi="Times New Roman" w:cs="Times New Roman"/>
          <w:sz w:val="22"/>
          <w:szCs w:val="22"/>
          <w:lang w:eastAsia="it-IT"/>
        </w:rPr>
        <w:t>.</w:t>
      </w:r>
    </w:p>
    <w:p w:rsidR="00DA5DB2" w:rsidRDefault="001C3328"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E tuttavia questa idea “normativa” </w:t>
      </w:r>
      <w:r w:rsidR="00F57B8C">
        <w:rPr>
          <w:rFonts w:ascii="Times New Roman" w:eastAsia="Times New Roman" w:hAnsi="Times New Roman" w:cs="Times New Roman"/>
          <w:color w:val="4B4B4C"/>
          <w:sz w:val="22"/>
          <w:szCs w:val="22"/>
          <w:lang w:eastAsia="it-IT"/>
        </w:rPr>
        <w:t xml:space="preserve">o classificatoria </w:t>
      </w:r>
      <w:r>
        <w:rPr>
          <w:rFonts w:ascii="Times New Roman" w:eastAsia="Times New Roman" w:hAnsi="Times New Roman" w:cs="Times New Roman"/>
          <w:color w:val="4B4B4C"/>
          <w:sz w:val="22"/>
          <w:szCs w:val="22"/>
          <w:lang w:eastAsia="it-IT"/>
        </w:rPr>
        <w:t>del mercato in generale e del mercato degli NPE in particolare non sarebbe soddisfacente se non si considerasse che esiste pure una dimensione fenomenologica del mercato che dipende non tanto dalla disciplina che lo regola e dalle scelte politico-legislative che lo conformano, ma dal complesso degli scambi commerciali che in quel mercato di svolgono</w:t>
      </w:r>
      <w:r>
        <w:rPr>
          <w:rStyle w:val="Rimandonotaapidipagina"/>
          <w:rFonts w:ascii="Times New Roman" w:eastAsia="Times New Roman" w:hAnsi="Times New Roman" w:cs="Times New Roman"/>
          <w:color w:val="4B4B4C"/>
          <w:sz w:val="22"/>
          <w:szCs w:val="22"/>
          <w:lang w:eastAsia="it-IT"/>
        </w:rPr>
        <w:footnoteReference w:id="29"/>
      </w:r>
      <w:r>
        <w:rPr>
          <w:rFonts w:ascii="Times New Roman" w:eastAsia="Times New Roman" w:hAnsi="Times New Roman" w:cs="Times New Roman"/>
          <w:color w:val="4B4B4C"/>
          <w:sz w:val="22"/>
          <w:szCs w:val="22"/>
          <w:lang w:eastAsia="it-IT"/>
        </w:rPr>
        <w:t xml:space="preserve">. Cioè una </w:t>
      </w:r>
      <w:r w:rsidRPr="001C3328">
        <w:rPr>
          <w:rFonts w:ascii="Times New Roman" w:eastAsia="Times New Roman" w:hAnsi="Times New Roman" w:cs="Times New Roman"/>
          <w:color w:val="4B4B4C"/>
          <w:sz w:val="22"/>
          <w:szCs w:val="22"/>
          <w:lang w:eastAsia="it-IT"/>
        </w:rPr>
        <w:t>nozione</w:t>
      </w:r>
      <w:r>
        <w:rPr>
          <w:rFonts w:ascii="Times New Roman" w:eastAsia="Times New Roman" w:hAnsi="Times New Roman" w:cs="Times New Roman"/>
          <w:color w:val="4B4B4C"/>
          <w:sz w:val="22"/>
          <w:szCs w:val="22"/>
          <w:lang w:eastAsia="it-IT"/>
        </w:rPr>
        <w:t xml:space="preserve"> </w:t>
      </w:r>
      <w:r w:rsidRPr="001C3328">
        <w:rPr>
          <w:rFonts w:ascii="Times New Roman" w:eastAsia="Times New Roman" w:hAnsi="Times New Roman" w:cs="Times New Roman"/>
          <w:color w:val="4B4B4C"/>
          <w:sz w:val="22"/>
          <w:szCs w:val="22"/>
          <w:lang w:eastAsia="it-IT"/>
        </w:rPr>
        <w:t>di carattere</w:t>
      </w:r>
      <w:r>
        <w:rPr>
          <w:rFonts w:ascii="Times New Roman" w:eastAsia="Times New Roman" w:hAnsi="Times New Roman" w:cs="Times New Roman"/>
          <w:color w:val="4B4B4C"/>
          <w:sz w:val="22"/>
          <w:szCs w:val="22"/>
          <w:lang w:eastAsia="it-IT"/>
        </w:rPr>
        <w:t xml:space="preserve"> </w:t>
      </w:r>
      <w:r w:rsidRPr="001C3328">
        <w:rPr>
          <w:rFonts w:ascii="Times New Roman" w:eastAsia="Times New Roman" w:hAnsi="Times New Roman" w:cs="Times New Roman"/>
          <w:color w:val="4B4B4C"/>
          <w:sz w:val="22"/>
          <w:szCs w:val="22"/>
          <w:lang w:eastAsia="it-IT"/>
        </w:rPr>
        <w:t>sistemico</w:t>
      </w:r>
      <w:r>
        <w:rPr>
          <w:rFonts w:ascii="Times New Roman" w:eastAsia="Times New Roman" w:hAnsi="Times New Roman" w:cs="Times New Roman"/>
          <w:color w:val="4B4B4C"/>
          <w:sz w:val="22"/>
          <w:szCs w:val="22"/>
          <w:lang w:eastAsia="it-IT"/>
        </w:rPr>
        <w:t>, che concepisc</w:t>
      </w:r>
      <w:r w:rsidR="00F57B8C">
        <w:rPr>
          <w:rFonts w:ascii="Times New Roman" w:eastAsia="Times New Roman" w:hAnsi="Times New Roman" w:cs="Times New Roman"/>
          <w:color w:val="4B4B4C"/>
          <w:sz w:val="22"/>
          <w:szCs w:val="22"/>
          <w:lang w:eastAsia="it-IT"/>
        </w:rPr>
        <w:t>a</w:t>
      </w:r>
      <w:r>
        <w:rPr>
          <w:rFonts w:ascii="Times New Roman" w:eastAsia="Times New Roman" w:hAnsi="Times New Roman" w:cs="Times New Roman"/>
          <w:color w:val="4B4B4C"/>
          <w:sz w:val="22"/>
          <w:szCs w:val="22"/>
          <w:lang w:eastAsia="it-IT"/>
        </w:rPr>
        <w:t xml:space="preserve"> il mercato come una </w:t>
      </w:r>
      <w:r w:rsidRPr="001C3328">
        <w:rPr>
          <w:rFonts w:ascii="Times New Roman" w:eastAsia="Times New Roman" w:hAnsi="Times New Roman" w:cs="Times New Roman"/>
          <w:color w:val="4B4B4C"/>
          <w:sz w:val="22"/>
          <w:szCs w:val="22"/>
          <w:lang w:eastAsia="it-IT"/>
        </w:rPr>
        <w:t>stru</w:t>
      </w:r>
      <w:r>
        <w:rPr>
          <w:rFonts w:ascii="Times New Roman" w:eastAsia="Times New Roman" w:hAnsi="Times New Roman" w:cs="Times New Roman"/>
          <w:color w:val="4B4B4C"/>
          <w:sz w:val="22"/>
          <w:szCs w:val="22"/>
          <w:lang w:eastAsia="it-IT"/>
        </w:rPr>
        <w:t>t</w:t>
      </w:r>
      <w:r w:rsidRPr="001C3328">
        <w:rPr>
          <w:rFonts w:ascii="Times New Roman" w:eastAsia="Times New Roman" w:hAnsi="Times New Roman" w:cs="Times New Roman"/>
          <w:color w:val="4B4B4C"/>
          <w:sz w:val="22"/>
          <w:szCs w:val="22"/>
          <w:lang w:eastAsia="it-IT"/>
        </w:rPr>
        <w:t>tura aperta nella quale è suscettibile di confluire</w:t>
      </w:r>
      <w:r>
        <w:rPr>
          <w:rFonts w:ascii="Times New Roman" w:eastAsia="Times New Roman" w:hAnsi="Times New Roman" w:cs="Times New Roman"/>
          <w:color w:val="4B4B4C"/>
          <w:sz w:val="22"/>
          <w:szCs w:val="22"/>
          <w:lang w:eastAsia="it-IT"/>
        </w:rPr>
        <w:t xml:space="preserve"> </w:t>
      </w:r>
      <w:r w:rsidRPr="001C3328">
        <w:rPr>
          <w:rFonts w:ascii="Times New Roman" w:eastAsia="Times New Roman" w:hAnsi="Times New Roman" w:cs="Times New Roman"/>
          <w:color w:val="4B4B4C"/>
          <w:sz w:val="22"/>
          <w:szCs w:val="22"/>
          <w:lang w:eastAsia="it-IT"/>
        </w:rPr>
        <w:t xml:space="preserve">una pluralità di </w:t>
      </w:r>
      <w:r>
        <w:rPr>
          <w:rFonts w:ascii="Times New Roman" w:eastAsia="Times New Roman" w:hAnsi="Times New Roman" w:cs="Times New Roman"/>
          <w:color w:val="4B4B4C"/>
          <w:sz w:val="22"/>
          <w:szCs w:val="22"/>
          <w:lang w:eastAsia="it-IT"/>
        </w:rPr>
        <w:t>operazioni, di scambi</w:t>
      </w:r>
      <w:r w:rsidRPr="001C3328">
        <w:rPr>
          <w:rFonts w:ascii="Times New Roman" w:eastAsia="Times New Roman" w:hAnsi="Times New Roman" w:cs="Times New Roman"/>
          <w:color w:val="4B4B4C"/>
          <w:sz w:val="22"/>
          <w:szCs w:val="22"/>
          <w:lang w:eastAsia="it-IT"/>
        </w:rPr>
        <w:t>, tutti espressivi del</w:t>
      </w:r>
      <w:r>
        <w:rPr>
          <w:rFonts w:ascii="Times New Roman" w:eastAsia="Times New Roman" w:hAnsi="Times New Roman" w:cs="Times New Roman"/>
          <w:color w:val="4B4B4C"/>
          <w:sz w:val="22"/>
          <w:szCs w:val="22"/>
          <w:lang w:eastAsia="it-IT"/>
        </w:rPr>
        <w:t>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esigenza di realizzare il </w:t>
      </w:r>
      <w:r w:rsidRPr="001C3328">
        <w:rPr>
          <w:rFonts w:ascii="Times New Roman" w:eastAsia="Times New Roman" w:hAnsi="Times New Roman" w:cs="Times New Roman"/>
          <w:color w:val="4B4B4C"/>
          <w:sz w:val="22"/>
          <w:szCs w:val="22"/>
          <w:lang w:eastAsia="it-IT"/>
        </w:rPr>
        <w:t>medesimo</w:t>
      </w:r>
      <w:r>
        <w:rPr>
          <w:rFonts w:ascii="Times New Roman" w:eastAsia="Times New Roman" w:hAnsi="Times New Roman" w:cs="Times New Roman"/>
          <w:color w:val="4B4B4C"/>
          <w:sz w:val="22"/>
          <w:szCs w:val="22"/>
          <w:lang w:eastAsia="it-IT"/>
        </w:rPr>
        <w:t xml:space="preserve"> assetto di interessi</w:t>
      </w:r>
      <w:r w:rsidR="005B0B1B">
        <w:rPr>
          <w:rFonts w:ascii="Times New Roman" w:eastAsia="Times New Roman" w:hAnsi="Times New Roman" w:cs="Times New Roman"/>
          <w:color w:val="4B4B4C"/>
          <w:sz w:val="22"/>
          <w:szCs w:val="22"/>
          <w:lang w:eastAsia="it-IT"/>
        </w:rPr>
        <w:t xml:space="preserve"> o, se si preferisce, </w:t>
      </w:r>
      <w:r w:rsidR="005B0B1B" w:rsidRPr="005B0B1B">
        <w:rPr>
          <w:rFonts w:ascii="Times New Roman" w:eastAsia="Times New Roman" w:hAnsi="Times New Roman" w:cs="Times New Roman"/>
          <w:color w:val="4B4B4C"/>
          <w:sz w:val="22"/>
          <w:szCs w:val="22"/>
          <w:lang w:eastAsia="it-IT"/>
        </w:rPr>
        <w:t xml:space="preserve">la </w:t>
      </w:r>
      <w:r w:rsidR="005B0B1B">
        <w:rPr>
          <w:rFonts w:ascii="Times New Roman" w:eastAsia="Times New Roman" w:hAnsi="Times New Roman" w:cs="Times New Roman"/>
          <w:color w:val="4B4B4C"/>
          <w:sz w:val="22"/>
          <w:szCs w:val="22"/>
          <w:lang w:eastAsia="it-IT"/>
        </w:rPr>
        <w:t>medesima razionalità economica</w:t>
      </w:r>
      <w:r w:rsidR="00F57B8C">
        <w:rPr>
          <w:rStyle w:val="Rimandonotaapidipagina"/>
          <w:rFonts w:ascii="Times New Roman" w:eastAsia="Times New Roman" w:hAnsi="Times New Roman" w:cs="Times New Roman"/>
          <w:color w:val="4B4B4C"/>
          <w:sz w:val="22"/>
          <w:szCs w:val="22"/>
          <w:lang w:eastAsia="it-IT"/>
        </w:rPr>
        <w:footnoteReference w:id="30"/>
      </w:r>
      <w:r>
        <w:rPr>
          <w:rFonts w:ascii="Times New Roman" w:eastAsia="Times New Roman" w:hAnsi="Times New Roman" w:cs="Times New Roman"/>
          <w:color w:val="4B4B4C"/>
          <w:sz w:val="22"/>
          <w:szCs w:val="22"/>
          <w:lang w:eastAsia="it-IT"/>
        </w:rPr>
        <w:t>.</w:t>
      </w:r>
    </w:p>
    <w:p w:rsidR="001C3328" w:rsidRDefault="001C3328" w:rsidP="00B106E0">
      <w:pPr>
        <w:spacing w:line="360" w:lineRule="auto"/>
        <w:jc w:val="both"/>
        <w:rPr>
          <w:rFonts w:ascii="Times New Roman" w:eastAsia="Times New Roman" w:hAnsi="Times New Roman" w:cs="Times New Roman"/>
          <w:color w:val="4B4B4C"/>
          <w:sz w:val="22"/>
          <w:szCs w:val="22"/>
          <w:lang w:eastAsia="it-IT"/>
        </w:rPr>
      </w:pPr>
    </w:p>
    <w:p w:rsidR="003E3FE9" w:rsidRDefault="003E3FE9" w:rsidP="00B106E0">
      <w:pPr>
        <w:spacing w:line="360" w:lineRule="auto"/>
        <w:jc w:val="both"/>
        <w:rPr>
          <w:rFonts w:ascii="Times New Roman" w:eastAsia="Times New Roman" w:hAnsi="Times New Roman" w:cs="Times New Roman"/>
          <w:color w:val="4B4B4C"/>
          <w:sz w:val="22"/>
          <w:szCs w:val="22"/>
          <w:lang w:eastAsia="it-IT"/>
        </w:rPr>
      </w:pPr>
    </w:p>
    <w:p w:rsidR="003E3FE9" w:rsidRPr="00AB6935" w:rsidRDefault="003E3FE9" w:rsidP="00B106E0">
      <w:pPr>
        <w:keepNext/>
        <w:widowControl w:val="0"/>
        <w:spacing w:after="240" w:line="360" w:lineRule="auto"/>
        <w:jc w:val="both"/>
        <w:rPr>
          <w:rFonts w:ascii="Times New Roman" w:hAnsi="Times New Roman" w:cs="Times New Roman"/>
          <w:i/>
          <w:iCs/>
          <w:sz w:val="22"/>
          <w:szCs w:val="22"/>
        </w:rPr>
      </w:pPr>
      <w:r>
        <w:rPr>
          <w:rFonts w:ascii="Times New Roman" w:hAnsi="Times New Roman" w:cs="Times New Roman"/>
          <w:i/>
          <w:iCs/>
          <w:sz w:val="22"/>
          <w:szCs w:val="22"/>
        </w:rPr>
        <w:lastRenderedPageBreak/>
        <w:t>4</w:t>
      </w:r>
      <w:r w:rsidRPr="00AB6935">
        <w:rPr>
          <w:rFonts w:ascii="Times New Roman" w:hAnsi="Times New Roman" w:cs="Times New Roman"/>
          <w:i/>
          <w:iCs/>
          <w:sz w:val="22"/>
          <w:szCs w:val="22"/>
        </w:rPr>
        <w:t xml:space="preserve">. </w:t>
      </w:r>
      <w:r w:rsidR="00B0365F">
        <w:rPr>
          <w:rFonts w:ascii="Times New Roman" w:hAnsi="Times New Roman" w:cs="Times New Roman"/>
          <w:i/>
          <w:iCs/>
          <w:sz w:val="22"/>
          <w:szCs w:val="22"/>
        </w:rPr>
        <w:t>La razionalità economica della negoziazione di NPE</w:t>
      </w:r>
    </w:p>
    <w:p w:rsidR="00F417FD" w:rsidRDefault="00C503C5"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Questo aspetto è, a nostro parere, il più importante, </w:t>
      </w:r>
      <w:r w:rsidR="00D33143">
        <w:rPr>
          <w:rFonts w:ascii="Times New Roman" w:eastAsia="Times New Roman" w:hAnsi="Times New Roman" w:cs="Times New Roman"/>
          <w:color w:val="4B4B4C"/>
          <w:sz w:val="22"/>
          <w:szCs w:val="22"/>
          <w:lang w:eastAsia="it-IT"/>
        </w:rPr>
        <w:t>poiché</w:t>
      </w:r>
      <w:r>
        <w:rPr>
          <w:rFonts w:ascii="Times New Roman" w:eastAsia="Times New Roman" w:hAnsi="Times New Roman" w:cs="Times New Roman"/>
          <w:color w:val="4B4B4C"/>
          <w:sz w:val="22"/>
          <w:szCs w:val="22"/>
          <w:lang w:eastAsia="it-IT"/>
        </w:rPr>
        <w:t xml:space="preserve">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individuazione del mercato di riferimento – e quindi delle regole applicabili – in base agli interessi e ai bisogni </w:t>
      </w:r>
      <w:r w:rsidR="005B0B1B">
        <w:rPr>
          <w:rFonts w:ascii="Times New Roman" w:eastAsia="Times New Roman" w:hAnsi="Times New Roman" w:cs="Times New Roman"/>
          <w:color w:val="4B4B4C"/>
          <w:sz w:val="22"/>
          <w:szCs w:val="22"/>
          <w:lang w:eastAsia="it-IT"/>
        </w:rPr>
        <w:t xml:space="preserve">economici </w:t>
      </w:r>
      <w:r>
        <w:rPr>
          <w:rFonts w:ascii="Times New Roman" w:eastAsia="Times New Roman" w:hAnsi="Times New Roman" w:cs="Times New Roman"/>
          <w:color w:val="4B4B4C"/>
          <w:sz w:val="22"/>
          <w:szCs w:val="22"/>
          <w:lang w:eastAsia="it-IT"/>
        </w:rPr>
        <w:t xml:space="preserve">delle parti che vi operano ha notevoli </w:t>
      </w:r>
      <w:r w:rsidR="006E0B34">
        <w:rPr>
          <w:rFonts w:ascii="Times New Roman" w:eastAsia="Times New Roman" w:hAnsi="Times New Roman" w:cs="Times New Roman"/>
          <w:color w:val="4B4B4C"/>
          <w:sz w:val="22"/>
          <w:szCs w:val="22"/>
          <w:lang w:eastAsia="it-IT"/>
        </w:rPr>
        <w:t>ricadute pratiche.</w:t>
      </w:r>
    </w:p>
    <w:p w:rsidR="00176DE9" w:rsidRDefault="006E0B34"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La più evidente è che, sebbene i tipi contrattuali usualmente praticati nel mercato dei crediti deteriorati appartengano al novero dei contratti “comuni” (cessione del credito; mandato; ecc.), la loro causa concreta è </w:t>
      </w:r>
      <w:r w:rsidR="00D33143">
        <w:rPr>
          <w:rFonts w:ascii="Times New Roman" w:eastAsia="Times New Roman" w:hAnsi="Times New Roman" w:cs="Times New Roman"/>
          <w:color w:val="4B4B4C"/>
          <w:sz w:val="22"/>
          <w:szCs w:val="22"/>
          <w:lang w:eastAsia="it-IT"/>
        </w:rPr>
        <w:t>fortemente connotata</w:t>
      </w:r>
      <w:r>
        <w:rPr>
          <w:rFonts w:ascii="Times New Roman" w:eastAsia="Times New Roman" w:hAnsi="Times New Roman" w:cs="Times New Roman"/>
          <w:color w:val="4B4B4C"/>
          <w:sz w:val="22"/>
          <w:szCs w:val="22"/>
          <w:lang w:eastAsia="it-IT"/>
        </w:rPr>
        <w:t xml:space="preserve"> d</w:t>
      </w:r>
      <w:r w:rsidR="00D33143">
        <w:rPr>
          <w:rFonts w:ascii="Times New Roman" w:eastAsia="Times New Roman" w:hAnsi="Times New Roman" w:cs="Times New Roman"/>
          <w:color w:val="4B4B4C"/>
          <w:sz w:val="22"/>
          <w:szCs w:val="22"/>
          <w:lang w:eastAsia="it-IT"/>
        </w:rPr>
        <w:t>a</w:t>
      </w:r>
      <w:r>
        <w:rPr>
          <w:rFonts w:ascii="Times New Roman" w:eastAsia="Times New Roman" w:hAnsi="Times New Roman" w:cs="Times New Roman"/>
          <w:color w:val="4B4B4C"/>
          <w:sz w:val="22"/>
          <w:szCs w:val="22"/>
          <w:lang w:eastAsia="it-IT"/>
        </w:rPr>
        <w:t>gli interessi effettivamente perseguiti dalle parti</w:t>
      </w:r>
      <w:r w:rsidR="00D33143">
        <w:rPr>
          <w:rStyle w:val="Rimandonotaapidipagina"/>
          <w:rFonts w:ascii="Times New Roman" w:eastAsia="Times New Roman" w:hAnsi="Times New Roman" w:cs="Times New Roman"/>
          <w:color w:val="4B4B4C"/>
          <w:sz w:val="22"/>
          <w:szCs w:val="22"/>
          <w:lang w:eastAsia="it-IT"/>
        </w:rPr>
        <w:footnoteReference w:id="31"/>
      </w:r>
      <w:r>
        <w:rPr>
          <w:rFonts w:ascii="Times New Roman" w:eastAsia="Times New Roman" w:hAnsi="Times New Roman" w:cs="Times New Roman"/>
          <w:color w:val="4B4B4C"/>
          <w:sz w:val="22"/>
          <w:szCs w:val="22"/>
          <w:lang w:eastAsia="it-IT"/>
        </w:rPr>
        <w:t xml:space="preserve">. Le quali, ad esempio, nel conferire un mandato a riscuotere i crediti non intendono semplicemente avvalersi della collaborazione del </w:t>
      </w:r>
      <w:r w:rsidRPr="006E0B34">
        <w:rPr>
          <w:rFonts w:ascii="Times New Roman" w:eastAsia="Times New Roman" w:hAnsi="Times New Roman" w:cs="Times New Roman"/>
          <w:i/>
          <w:iCs/>
          <w:color w:val="4B4B4C"/>
          <w:sz w:val="22"/>
          <w:szCs w:val="22"/>
          <w:lang w:eastAsia="it-IT"/>
        </w:rPr>
        <w:t>servicer</w:t>
      </w:r>
      <w:r>
        <w:rPr>
          <w:rFonts w:ascii="Times New Roman" w:eastAsia="Times New Roman" w:hAnsi="Times New Roman" w:cs="Times New Roman"/>
          <w:color w:val="4B4B4C"/>
          <w:sz w:val="22"/>
          <w:szCs w:val="22"/>
          <w:lang w:eastAsia="it-IT"/>
        </w:rPr>
        <w:t xml:space="preserve"> nell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esecuzione forzata ai danni del debitore inadempiente, ma pongono in essere un</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operazione che, pur senza il formale trasferimento della titolarità del portafoglio, persegue finalità finanziarie, specie laddove il mandante è un veicolo appositamente creato ai soli fini di realizzare un progetto speculativo di conversione del disvalore del credito a sofferenza in un</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occasione di profitto. Così come la cessione degli NPE fra operatori specializzati non avviene con </w:t>
      </w:r>
      <w:r w:rsidR="00176DE9">
        <w:rPr>
          <w:rFonts w:ascii="Times New Roman" w:eastAsia="Times New Roman" w:hAnsi="Times New Roman" w:cs="Times New Roman"/>
          <w:color w:val="4B4B4C"/>
          <w:sz w:val="22"/>
          <w:szCs w:val="22"/>
          <w:lang w:eastAsia="it-IT"/>
        </w:rPr>
        <w:t xml:space="preserve">funzione </w:t>
      </w:r>
      <w:r>
        <w:rPr>
          <w:rFonts w:ascii="Times New Roman" w:eastAsia="Times New Roman" w:hAnsi="Times New Roman" w:cs="Times New Roman"/>
          <w:color w:val="4B4B4C"/>
          <w:sz w:val="22"/>
          <w:szCs w:val="22"/>
          <w:lang w:eastAsia="it-IT"/>
        </w:rPr>
        <w:t>di pagamento</w:t>
      </w:r>
      <w:r w:rsidR="00176DE9">
        <w:rPr>
          <w:rFonts w:ascii="Times New Roman" w:eastAsia="Times New Roman" w:hAnsi="Times New Roman" w:cs="Times New Roman"/>
          <w:color w:val="4B4B4C"/>
          <w:sz w:val="22"/>
          <w:szCs w:val="22"/>
          <w:lang w:eastAsia="it-IT"/>
        </w:rPr>
        <w:t>, di garanzia</w:t>
      </w:r>
      <w:r>
        <w:rPr>
          <w:rFonts w:ascii="Times New Roman" w:eastAsia="Times New Roman" w:hAnsi="Times New Roman" w:cs="Times New Roman"/>
          <w:color w:val="4B4B4C"/>
          <w:sz w:val="22"/>
          <w:szCs w:val="22"/>
          <w:lang w:eastAsia="it-IT"/>
        </w:rPr>
        <w:t xml:space="preserve"> o di finanziamento (come nell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anticipo su fattura), ma al fine di trarre profitto – ancora una volta – dal valore di circolazione del credito</w:t>
      </w:r>
      <w:r>
        <w:rPr>
          <w:rStyle w:val="Rimandonotaapidipagina"/>
          <w:rFonts w:ascii="Times New Roman" w:eastAsia="Times New Roman" w:hAnsi="Times New Roman" w:cs="Times New Roman"/>
          <w:color w:val="4B4B4C"/>
          <w:sz w:val="22"/>
          <w:szCs w:val="22"/>
          <w:lang w:eastAsia="it-IT"/>
        </w:rPr>
        <w:footnoteReference w:id="32"/>
      </w:r>
      <w:r>
        <w:rPr>
          <w:rFonts w:ascii="Times New Roman" w:eastAsia="Times New Roman" w:hAnsi="Times New Roman" w:cs="Times New Roman"/>
          <w:color w:val="4B4B4C"/>
          <w:sz w:val="22"/>
          <w:szCs w:val="22"/>
          <w:lang w:eastAsia="it-IT"/>
        </w:rPr>
        <w:t>.</w:t>
      </w:r>
      <w:r w:rsidR="00176DE9">
        <w:rPr>
          <w:rFonts w:ascii="Times New Roman" w:eastAsia="Times New Roman" w:hAnsi="Times New Roman" w:cs="Times New Roman"/>
          <w:color w:val="4B4B4C"/>
          <w:sz w:val="22"/>
          <w:szCs w:val="22"/>
          <w:lang w:eastAsia="it-IT"/>
        </w:rPr>
        <w:t xml:space="preserve"> È dunque confermato che la causa concreta è decisiva nel porre in chiara luce gli interessi effettivamente perseguiti dalle parti</w:t>
      </w:r>
      <w:r w:rsidR="00176DE9">
        <w:rPr>
          <w:rStyle w:val="Rimandonotaapidipagina"/>
          <w:rFonts w:ascii="Times New Roman" w:eastAsia="Times New Roman" w:hAnsi="Times New Roman" w:cs="Times New Roman"/>
          <w:color w:val="4B4B4C"/>
          <w:sz w:val="22"/>
          <w:szCs w:val="22"/>
          <w:lang w:eastAsia="it-IT"/>
        </w:rPr>
        <w:footnoteReference w:id="33"/>
      </w:r>
      <w:r w:rsidR="00176DE9">
        <w:rPr>
          <w:rFonts w:ascii="Times New Roman" w:eastAsia="Times New Roman" w:hAnsi="Times New Roman" w:cs="Times New Roman"/>
          <w:color w:val="4B4B4C"/>
          <w:sz w:val="22"/>
          <w:szCs w:val="22"/>
          <w:lang w:eastAsia="it-IT"/>
        </w:rPr>
        <w:t>.</w:t>
      </w:r>
    </w:p>
    <w:p w:rsidR="006E0B34" w:rsidRDefault="00857769"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Un simile approccio ha come corollario che gli interessi riassunti nella causa concreta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operazione divengono, ad un tempo, criterio di interpretazione del contratto e parametro di determinazione della buona fede cui sono tenute le parti di quello specifico accordo, anche con funzione integrativa del regolamento contrattuale</w:t>
      </w:r>
      <w:r w:rsidR="00D33143">
        <w:rPr>
          <w:rStyle w:val="Rimandonotaapidipagina"/>
          <w:rFonts w:ascii="Times New Roman" w:eastAsia="Times New Roman" w:hAnsi="Times New Roman" w:cs="Times New Roman"/>
          <w:color w:val="4B4B4C"/>
          <w:sz w:val="22"/>
          <w:szCs w:val="22"/>
          <w:lang w:eastAsia="it-IT"/>
        </w:rPr>
        <w:footnoteReference w:id="34"/>
      </w:r>
      <w:r>
        <w:rPr>
          <w:rFonts w:ascii="Times New Roman" w:eastAsia="Times New Roman" w:hAnsi="Times New Roman" w:cs="Times New Roman"/>
          <w:color w:val="4B4B4C"/>
          <w:sz w:val="22"/>
          <w:szCs w:val="22"/>
          <w:lang w:eastAsia="it-IT"/>
        </w:rPr>
        <w:t>.</w:t>
      </w:r>
    </w:p>
    <w:p w:rsidR="00857769" w:rsidRDefault="00857769"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lastRenderedPageBreak/>
        <w:t>E procedendo oltre sul medesimo sentiero, si perviene ad una particolare e specifica qualificazione del credito deteriorato come bene giuridico suscettibile di una utilità sua propria, a prescindere dal momento della riscossione. Nella logica del mercato innanzi illustrata, infatti, i crediti deteriorati circolano perché la loro stessa circolazione genera “ricchezza”, ancor prima che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ultimo titolare li riscuota.</w:t>
      </w:r>
    </w:p>
    <w:p w:rsidR="00857769" w:rsidRDefault="00857769"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La cessione dei crediti deteriorati produce un</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utilità economica giuridicamente apprezzabile in capo alla banca cedente che, pur a fronte di una vendita ad un valore inferiore a quello nominale, ottiene il beneficio di “pulire” il proprio bilancio e scaricare gli accantonamenti legalmente obbligatori a fronte del rischio di insolvenza.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acquisto di un blocco di crediti determina una maggiore patrimonializzazione del fondo o del veicolo acquirente, per il sol fatto che tali crediti – avente un valore nominale maggior</w:t>
      </w:r>
      <w:r w:rsidR="008A04AE">
        <w:rPr>
          <w:rFonts w:ascii="Times New Roman" w:eastAsia="Times New Roman" w:hAnsi="Times New Roman" w:cs="Times New Roman"/>
          <w:color w:val="4B4B4C"/>
          <w:sz w:val="22"/>
          <w:szCs w:val="22"/>
          <w:lang w:eastAsia="it-IT"/>
        </w:rPr>
        <w:t>e</w:t>
      </w:r>
      <w:r>
        <w:rPr>
          <w:rFonts w:ascii="Times New Roman" w:eastAsia="Times New Roman" w:hAnsi="Times New Roman" w:cs="Times New Roman"/>
          <w:color w:val="4B4B4C"/>
          <w:sz w:val="22"/>
          <w:szCs w:val="22"/>
          <w:lang w:eastAsia="it-IT"/>
        </w:rPr>
        <w:t xml:space="preserve"> del prezzo di acquisto – siano entrati nel suo portafoglio.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abbinamento di un </w:t>
      </w:r>
      <w:r>
        <w:rPr>
          <w:rFonts w:ascii="Times New Roman" w:eastAsia="Times New Roman" w:hAnsi="Times New Roman" w:cs="Times New Roman"/>
          <w:i/>
          <w:iCs/>
          <w:color w:val="4B4B4C"/>
          <w:sz w:val="22"/>
          <w:szCs w:val="22"/>
          <w:lang w:eastAsia="it-IT"/>
        </w:rPr>
        <w:t>cluster</w:t>
      </w:r>
      <w:r>
        <w:rPr>
          <w:rFonts w:ascii="Times New Roman" w:eastAsia="Times New Roman" w:hAnsi="Times New Roman" w:cs="Times New Roman"/>
          <w:color w:val="4B4B4C"/>
          <w:sz w:val="22"/>
          <w:szCs w:val="22"/>
          <w:lang w:eastAsia="it-IT"/>
        </w:rPr>
        <w:t xml:space="preserve"> di crediti con scarse probabilità di realizzo (ad esempio</w:t>
      </w:r>
      <w:r w:rsidR="008A04AE">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 chirografari, comunemente indicat</w:t>
      </w:r>
      <w:r w:rsidR="008A04AE">
        <w:rPr>
          <w:rFonts w:ascii="Times New Roman" w:eastAsia="Times New Roman" w:hAnsi="Times New Roman" w:cs="Times New Roman"/>
          <w:color w:val="4B4B4C"/>
          <w:sz w:val="22"/>
          <w:szCs w:val="22"/>
          <w:lang w:eastAsia="it-IT"/>
        </w:rPr>
        <w:t>i</w:t>
      </w:r>
      <w:r>
        <w:rPr>
          <w:rFonts w:ascii="Times New Roman" w:eastAsia="Times New Roman" w:hAnsi="Times New Roman" w:cs="Times New Roman"/>
          <w:color w:val="4B4B4C"/>
          <w:sz w:val="22"/>
          <w:szCs w:val="22"/>
          <w:lang w:eastAsia="it-IT"/>
        </w:rPr>
        <w:t xml:space="preserve"> come </w:t>
      </w:r>
      <w:proofErr w:type="spellStart"/>
      <w:r w:rsidRPr="00857769">
        <w:rPr>
          <w:rFonts w:ascii="Times New Roman" w:eastAsia="Times New Roman" w:hAnsi="Times New Roman" w:cs="Times New Roman"/>
          <w:i/>
          <w:iCs/>
          <w:color w:val="4B4B4C"/>
          <w:sz w:val="22"/>
          <w:szCs w:val="22"/>
          <w:lang w:eastAsia="it-IT"/>
        </w:rPr>
        <w:t>unsecured</w:t>
      </w:r>
      <w:proofErr w:type="spellEnd"/>
      <w:r>
        <w:rPr>
          <w:rFonts w:ascii="Times New Roman" w:eastAsia="Times New Roman" w:hAnsi="Times New Roman" w:cs="Times New Roman"/>
          <w:color w:val="4B4B4C"/>
          <w:sz w:val="22"/>
          <w:szCs w:val="22"/>
          <w:lang w:eastAsia="it-IT"/>
        </w:rPr>
        <w:t xml:space="preserve">) ad uno di crediti con “sottostante” immobiliare (cioè garantiti da ipoteca) può dar luogo a una cartolarizzazione in cui sia possibile distinguere le </w:t>
      </w:r>
      <w:r w:rsidRPr="00857769">
        <w:rPr>
          <w:rFonts w:ascii="Times New Roman" w:eastAsia="Times New Roman" w:hAnsi="Times New Roman" w:cs="Times New Roman"/>
          <w:i/>
          <w:iCs/>
          <w:color w:val="4B4B4C"/>
          <w:sz w:val="22"/>
          <w:szCs w:val="22"/>
          <w:lang w:eastAsia="it-IT"/>
        </w:rPr>
        <w:t>tranche</w:t>
      </w:r>
      <w:r>
        <w:rPr>
          <w:rFonts w:ascii="Times New Roman" w:eastAsia="Times New Roman" w:hAnsi="Times New Roman" w:cs="Times New Roman"/>
          <w:color w:val="4B4B4C"/>
          <w:sz w:val="22"/>
          <w:szCs w:val="22"/>
          <w:lang w:eastAsia="it-IT"/>
        </w:rPr>
        <w:t xml:space="preserve"> di crediti </w:t>
      </w:r>
      <w:r w:rsidRPr="00857769">
        <w:rPr>
          <w:rFonts w:ascii="Times New Roman" w:eastAsia="Times New Roman" w:hAnsi="Times New Roman" w:cs="Times New Roman"/>
          <w:i/>
          <w:iCs/>
          <w:color w:val="4B4B4C"/>
          <w:sz w:val="22"/>
          <w:szCs w:val="22"/>
          <w:lang w:eastAsia="it-IT"/>
        </w:rPr>
        <w:t>senior</w:t>
      </w:r>
      <w:r>
        <w:rPr>
          <w:rFonts w:ascii="Times New Roman" w:eastAsia="Times New Roman" w:hAnsi="Times New Roman" w:cs="Times New Roman"/>
          <w:color w:val="4B4B4C"/>
          <w:sz w:val="22"/>
          <w:szCs w:val="22"/>
          <w:lang w:eastAsia="it-IT"/>
        </w:rPr>
        <w:t xml:space="preserve">, da quelle di crediti </w:t>
      </w:r>
      <w:proofErr w:type="spellStart"/>
      <w:r w:rsidRPr="00857769">
        <w:rPr>
          <w:rFonts w:ascii="Times New Roman" w:eastAsia="Times New Roman" w:hAnsi="Times New Roman" w:cs="Times New Roman"/>
          <w:i/>
          <w:iCs/>
          <w:color w:val="4B4B4C"/>
          <w:sz w:val="22"/>
          <w:szCs w:val="22"/>
          <w:lang w:eastAsia="it-IT"/>
        </w:rPr>
        <w:t>mezzanine</w:t>
      </w:r>
      <w:proofErr w:type="spellEnd"/>
      <w:r>
        <w:rPr>
          <w:rFonts w:ascii="Times New Roman" w:eastAsia="Times New Roman" w:hAnsi="Times New Roman" w:cs="Times New Roman"/>
          <w:color w:val="4B4B4C"/>
          <w:sz w:val="22"/>
          <w:szCs w:val="22"/>
          <w:lang w:eastAsia="it-IT"/>
        </w:rPr>
        <w:t xml:space="preserve"> o </w:t>
      </w:r>
      <w:r w:rsidRPr="00857769">
        <w:rPr>
          <w:rFonts w:ascii="Times New Roman" w:eastAsia="Times New Roman" w:hAnsi="Times New Roman" w:cs="Times New Roman"/>
          <w:i/>
          <w:iCs/>
          <w:color w:val="4B4B4C"/>
          <w:sz w:val="22"/>
          <w:szCs w:val="22"/>
          <w:lang w:eastAsia="it-IT"/>
        </w:rPr>
        <w:t>junior</w:t>
      </w:r>
      <w:r>
        <w:rPr>
          <w:rStyle w:val="Rimandonotaapidipagina"/>
          <w:rFonts w:ascii="Times New Roman" w:eastAsia="Times New Roman" w:hAnsi="Times New Roman" w:cs="Times New Roman"/>
          <w:i/>
          <w:iCs/>
          <w:color w:val="4B4B4C"/>
          <w:sz w:val="22"/>
          <w:szCs w:val="22"/>
          <w:lang w:eastAsia="it-IT"/>
        </w:rPr>
        <w:footnoteReference w:id="35"/>
      </w:r>
      <w:r>
        <w:rPr>
          <w:rFonts w:ascii="Times New Roman" w:eastAsia="Times New Roman" w:hAnsi="Times New Roman" w:cs="Times New Roman"/>
          <w:color w:val="4B4B4C"/>
          <w:sz w:val="22"/>
          <w:szCs w:val="22"/>
          <w:lang w:eastAsia="it-IT"/>
        </w:rPr>
        <w:t>.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acquisizione di crediti chirografari ammessi al voto in una proposta concordataria consente all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acquirente di avere un maggior peso nella valutazione di una proposta che, in ipotesi, lo riguardi in relazione a posizioni creditorie privilegiate e quindi non votanti.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acquisto di </w:t>
      </w:r>
      <w:r w:rsidR="008A04AE">
        <w:rPr>
          <w:rFonts w:ascii="Times New Roman" w:eastAsia="Times New Roman" w:hAnsi="Times New Roman" w:cs="Times New Roman"/>
          <w:color w:val="4B4B4C"/>
          <w:sz w:val="22"/>
          <w:szCs w:val="22"/>
          <w:lang w:eastAsia="it-IT"/>
        </w:rPr>
        <w:t xml:space="preserve">specifiche posizioni creditore da parte di un acquirente che </w:t>
      </w:r>
      <w:r>
        <w:rPr>
          <w:rFonts w:ascii="Times New Roman" w:eastAsia="Times New Roman" w:hAnsi="Times New Roman" w:cs="Times New Roman"/>
          <w:color w:val="4B4B4C"/>
          <w:sz w:val="22"/>
          <w:szCs w:val="22"/>
          <w:lang w:eastAsia="it-IT"/>
        </w:rPr>
        <w:t>–</w:t>
      </w:r>
      <w:r w:rsidR="008A04AE">
        <w:rPr>
          <w:rFonts w:ascii="Times New Roman" w:eastAsia="Times New Roman" w:hAnsi="Times New Roman" w:cs="Times New Roman"/>
          <w:color w:val="4B4B4C"/>
          <w:sz w:val="22"/>
          <w:szCs w:val="22"/>
          <w:lang w:eastAsia="it-IT"/>
        </w:rPr>
        <w:t xml:space="preserve"> approfittando,</w:t>
      </w:r>
      <w:r>
        <w:rPr>
          <w:rFonts w:ascii="Times New Roman" w:eastAsia="Times New Roman" w:hAnsi="Times New Roman" w:cs="Times New Roman"/>
          <w:color w:val="4B4B4C"/>
          <w:sz w:val="22"/>
          <w:szCs w:val="22"/>
          <w:lang w:eastAsia="it-IT"/>
        </w:rPr>
        <w:t xml:space="preserve"> ad esempio,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immediato bisogno di liquidità del cedente o </w:t>
      </w:r>
      <w:r w:rsidR="008A04AE">
        <w:rPr>
          <w:rFonts w:ascii="Times New Roman" w:eastAsia="Times New Roman" w:hAnsi="Times New Roman" w:cs="Times New Roman"/>
          <w:color w:val="4B4B4C"/>
          <w:sz w:val="22"/>
          <w:szCs w:val="22"/>
          <w:lang w:eastAsia="it-IT"/>
        </w:rPr>
        <w:t>di</w:t>
      </w:r>
      <w:r>
        <w:rPr>
          <w:rFonts w:ascii="Times New Roman" w:eastAsia="Times New Roman" w:hAnsi="Times New Roman" w:cs="Times New Roman"/>
          <w:color w:val="4B4B4C"/>
          <w:sz w:val="22"/>
          <w:szCs w:val="22"/>
          <w:lang w:eastAsia="it-IT"/>
        </w:rPr>
        <w:t xml:space="preserve"> un più completo </w:t>
      </w:r>
      <w:r w:rsidRPr="00857769">
        <w:rPr>
          <w:rFonts w:ascii="Times New Roman" w:eastAsia="Times New Roman" w:hAnsi="Times New Roman" w:cs="Times New Roman"/>
          <w:i/>
          <w:iCs/>
          <w:color w:val="4B4B4C"/>
          <w:sz w:val="22"/>
          <w:szCs w:val="22"/>
          <w:lang w:eastAsia="it-IT"/>
        </w:rPr>
        <w:t>set</w:t>
      </w:r>
      <w:r>
        <w:rPr>
          <w:rFonts w:ascii="Times New Roman" w:eastAsia="Times New Roman" w:hAnsi="Times New Roman" w:cs="Times New Roman"/>
          <w:color w:val="4B4B4C"/>
          <w:sz w:val="22"/>
          <w:szCs w:val="22"/>
          <w:lang w:eastAsia="it-IT"/>
        </w:rPr>
        <w:t xml:space="preserve"> informativo</w:t>
      </w:r>
      <w:r w:rsidR="008A04AE">
        <w:rPr>
          <w:rFonts w:ascii="Times New Roman" w:eastAsia="Times New Roman" w:hAnsi="Times New Roman" w:cs="Times New Roman"/>
          <w:color w:val="4B4B4C"/>
          <w:sz w:val="22"/>
          <w:szCs w:val="22"/>
          <w:lang w:eastAsia="it-IT"/>
        </w:rPr>
        <w:t xml:space="preserve"> </w:t>
      </w:r>
      <w:r>
        <w:rPr>
          <w:rFonts w:ascii="Times New Roman" w:eastAsia="Times New Roman" w:hAnsi="Times New Roman" w:cs="Times New Roman"/>
          <w:color w:val="4B4B4C"/>
          <w:sz w:val="22"/>
          <w:szCs w:val="22"/>
          <w:lang w:eastAsia="it-IT"/>
        </w:rPr>
        <w:t xml:space="preserve">– </w:t>
      </w:r>
      <w:r w:rsidR="008A04AE">
        <w:rPr>
          <w:rFonts w:ascii="Times New Roman" w:eastAsia="Times New Roman" w:hAnsi="Times New Roman" w:cs="Times New Roman"/>
          <w:color w:val="4B4B4C"/>
          <w:sz w:val="22"/>
          <w:szCs w:val="22"/>
          <w:lang w:eastAsia="it-IT"/>
        </w:rPr>
        <w:t>riesce a</w:t>
      </w:r>
      <w:r>
        <w:rPr>
          <w:rFonts w:ascii="Times New Roman" w:eastAsia="Times New Roman" w:hAnsi="Times New Roman" w:cs="Times New Roman"/>
          <w:color w:val="4B4B4C"/>
          <w:sz w:val="22"/>
          <w:szCs w:val="22"/>
          <w:lang w:eastAsia="it-IT"/>
        </w:rPr>
        <w:t xml:space="preserve"> spunta</w:t>
      </w:r>
      <w:r w:rsidR="008A04AE">
        <w:rPr>
          <w:rFonts w:ascii="Times New Roman" w:eastAsia="Times New Roman" w:hAnsi="Times New Roman" w:cs="Times New Roman"/>
          <w:color w:val="4B4B4C"/>
          <w:sz w:val="22"/>
          <w:szCs w:val="22"/>
          <w:lang w:eastAsia="it-IT"/>
        </w:rPr>
        <w:t>re</w:t>
      </w:r>
      <w:r>
        <w:rPr>
          <w:rFonts w:ascii="Times New Roman" w:eastAsia="Times New Roman" w:hAnsi="Times New Roman" w:cs="Times New Roman"/>
          <w:color w:val="4B4B4C"/>
          <w:sz w:val="22"/>
          <w:szCs w:val="22"/>
          <w:lang w:eastAsia="it-IT"/>
        </w:rPr>
        <w:t xml:space="preserve"> un prezzo particolarmente vantaggioso, determina un immediato </w:t>
      </w:r>
      <w:r w:rsidR="008A04AE">
        <w:rPr>
          <w:rFonts w:ascii="Times New Roman" w:eastAsia="Times New Roman" w:hAnsi="Times New Roman" w:cs="Times New Roman"/>
          <w:color w:val="4B4B4C"/>
          <w:sz w:val="22"/>
          <w:szCs w:val="22"/>
          <w:lang w:eastAsia="it-IT"/>
        </w:rPr>
        <w:t xml:space="preserve">arricchimento </w:t>
      </w:r>
      <w:r>
        <w:rPr>
          <w:rFonts w:ascii="Times New Roman" w:eastAsia="Times New Roman" w:hAnsi="Times New Roman" w:cs="Times New Roman"/>
          <w:color w:val="4B4B4C"/>
          <w:sz w:val="22"/>
          <w:szCs w:val="22"/>
          <w:lang w:eastAsia="it-IT"/>
        </w:rPr>
        <w:t xml:space="preserve">se </w:t>
      </w:r>
      <w:r w:rsidR="008A04AE">
        <w:rPr>
          <w:rFonts w:ascii="Times New Roman" w:eastAsia="Times New Roman" w:hAnsi="Times New Roman" w:cs="Times New Roman"/>
          <w:color w:val="4B4B4C"/>
          <w:sz w:val="22"/>
          <w:szCs w:val="22"/>
          <w:lang w:eastAsia="it-IT"/>
        </w:rPr>
        <w:t>quel</w:t>
      </w:r>
      <w:r>
        <w:rPr>
          <w:rFonts w:ascii="Times New Roman" w:eastAsia="Times New Roman" w:hAnsi="Times New Roman" w:cs="Times New Roman"/>
          <w:color w:val="4B4B4C"/>
          <w:sz w:val="22"/>
          <w:szCs w:val="22"/>
          <w:lang w:eastAsia="it-IT"/>
        </w:rPr>
        <w:t>l</w:t>
      </w:r>
      <w:r w:rsidR="008A04AE">
        <w:rPr>
          <w:rFonts w:ascii="Times New Roman" w:eastAsia="Times New Roman" w:hAnsi="Times New Roman" w:cs="Times New Roman"/>
          <w:color w:val="4B4B4C"/>
          <w:sz w:val="22"/>
          <w:szCs w:val="22"/>
          <w:lang w:eastAsia="it-IT"/>
        </w:rPr>
        <w:t>e</w:t>
      </w:r>
      <w:r>
        <w:rPr>
          <w:rFonts w:ascii="Times New Roman" w:eastAsia="Times New Roman" w:hAnsi="Times New Roman" w:cs="Times New Roman"/>
          <w:color w:val="4B4B4C"/>
          <w:sz w:val="22"/>
          <w:szCs w:val="22"/>
          <w:lang w:eastAsia="it-IT"/>
        </w:rPr>
        <w:t xml:space="preserve"> stess</w:t>
      </w:r>
      <w:r w:rsidR="008A04AE">
        <w:rPr>
          <w:rFonts w:ascii="Times New Roman" w:eastAsia="Times New Roman" w:hAnsi="Times New Roman" w:cs="Times New Roman"/>
          <w:color w:val="4B4B4C"/>
          <w:sz w:val="22"/>
          <w:szCs w:val="22"/>
          <w:lang w:eastAsia="it-IT"/>
        </w:rPr>
        <w:t>e</w:t>
      </w:r>
      <w:r>
        <w:rPr>
          <w:rFonts w:ascii="Times New Roman" w:eastAsia="Times New Roman" w:hAnsi="Times New Roman" w:cs="Times New Roman"/>
          <w:color w:val="4B4B4C"/>
          <w:sz w:val="22"/>
          <w:szCs w:val="22"/>
          <w:lang w:eastAsia="it-IT"/>
        </w:rPr>
        <w:t xml:space="preserve"> posizion</w:t>
      </w:r>
      <w:r w:rsidR="008A04AE">
        <w:rPr>
          <w:rFonts w:ascii="Times New Roman" w:eastAsia="Times New Roman" w:hAnsi="Times New Roman" w:cs="Times New Roman"/>
          <w:color w:val="4B4B4C"/>
          <w:sz w:val="22"/>
          <w:szCs w:val="22"/>
          <w:lang w:eastAsia="it-IT"/>
        </w:rPr>
        <w:t>i</w:t>
      </w:r>
      <w:r>
        <w:rPr>
          <w:rFonts w:ascii="Times New Roman" w:eastAsia="Times New Roman" w:hAnsi="Times New Roman" w:cs="Times New Roman"/>
          <w:color w:val="4B4B4C"/>
          <w:sz w:val="22"/>
          <w:szCs w:val="22"/>
          <w:lang w:eastAsia="it-IT"/>
        </w:rPr>
        <w:t xml:space="preserve"> v</w:t>
      </w:r>
      <w:r w:rsidR="008A04AE">
        <w:rPr>
          <w:rFonts w:ascii="Times New Roman" w:eastAsia="Times New Roman" w:hAnsi="Times New Roman" w:cs="Times New Roman"/>
          <w:color w:val="4B4B4C"/>
          <w:sz w:val="22"/>
          <w:szCs w:val="22"/>
          <w:lang w:eastAsia="it-IT"/>
        </w:rPr>
        <w:t xml:space="preserve">engono </w:t>
      </w:r>
      <w:r>
        <w:rPr>
          <w:rFonts w:ascii="Times New Roman" w:eastAsia="Times New Roman" w:hAnsi="Times New Roman" w:cs="Times New Roman"/>
          <w:color w:val="4B4B4C"/>
          <w:sz w:val="22"/>
          <w:szCs w:val="22"/>
          <w:lang w:eastAsia="it-IT"/>
        </w:rPr>
        <w:t>successivamente rivendut</w:t>
      </w:r>
      <w:r w:rsidR="008A04AE">
        <w:rPr>
          <w:rFonts w:ascii="Times New Roman" w:eastAsia="Times New Roman" w:hAnsi="Times New Roman" w:cs="Times New Roman"/>
          <w:color w:val="4B4B4C"/>
          <w:sz w:val="22"/>
          <w:szCs w:val="22"/>
          <w:lang w:eastAsia="it-IT"/>
        </w:rPr>
        <w:t>e</w:t>
      </w:r>
      <w:r>
        <w:rPr>
          <w:rFonts w:ascii="Times New Roman" w:eastAsia="Times New Roman" w:hAnsi="Times New Roman" w:cs="Times New Roman"/>
          <w:color w:val="4B4B4C"/>
          <w:sz w:val="22"/>
          <w:szCs w:val="22"/>
          <w:lang w:eastAsia="it-IT"/>
        </w:rPr>
        <w:t xml:space="preserve"> ad un maggior valore, senza che nel frattempo </w:t>
      </w:r>
      <w:r w:rsidR="008A04AE">
        <w:rPr>
          <w:rFonts w:ascii="Times New Roman" w:eastAsia="Times New Roman" w:hAnsi="Times New Roman" w:cs="Times New Roman"/>
          <w:color w:val="4B4B4C"/>
          <w:sz w:val="22"/>
          <w:szCs w:val="22"/>
          <w:lang w:eastAsia="it-IT"/>
        </w:rPr>
        <w:t xml:space="preserve">abbia avuto </w:t>
      </w:r>
      <w:r>
        <w:rPr>
          <w:rFonts w:ascii="Times New Roman" w:eastAsia="Times New Roman" w:hAnsi="Times New Roman" w:cs="Times New Roman"/>
          <w:color w:val="4B4B4C"/>
          <w:sz w:val="22"/>
          <w:szCs w:val="22"/>
          <w:lang w:eastAsia="it-IT"/>
        </w:rPr>
        <w:t>neppure inizio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escussione del debitore ceduto.</w:t>
      </w:r>
    </w:p>
    <w:p w:rsidR="00857769" w:rsidRDefault="00857769"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Lo sviluppo del mercato dei crediti deteriorati, quindi, ha dato luogo alla creazione di una nuova forma di ricchezza, costituita dal sol fatto di “possedere” nel proprio portafoglio</w:t>
      </w:r>
      <w:r w:rsidRPr="00857769">
        <w:rPr>
          <w:rFonts w:ascii="Times New Roman" w:eastAsia="Times New Roman" w:hAnsi="Times New Roman" w:cs="Times New Roman"/>
          <w:color w:val="4B4B4C"/>
          <w:sz w:val="22"/>
          <w:szCs w:val="22"/>
          <w:lang w:eastAsia="it-IT"/>
        </w:rPr>
        <w:t xml:space="preserve"> </w:t>
      </w:r>
      <w:r>
        <w:rPr>
          <w:rFonts w:ascii="Times New Roman" w:eastAsia="Times New Roman" w:hAnsi="Times New Roman" w:cs="Times New Roman"/>
          <w:color w:val="4B4B4C"/>
          <w:sz w:val="22"/>
          <w:szCs w:val="22"/>
          <w:lang w:eastAsia="it-IT"/>
        </w:rPr>
        <w:t>un credito avente un determinato valore – per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appunto – di mercato (o di circolazione), a prescindere </w:t>
      </w:r>
      <w:r w:rsidR="008A04AE">
        <w:rPr>
          <w:rFonts w:ascii="Times New Roman" w:eastAsia="Times New Roman" w:hAnsi="Times New Roman" w:cs="Times New Roman"/>
          <w:color w:val="4B4B4C"/>
          <w:sz w:val="22"/>
          <w:szCs w:val="22"/>
          <w:lang w:eastAsia="it-IT"/>
        </w:rPr>
        <w:t xml:space="preserve">dal suo importo nominale e </w:t>
      </w:r>
      <w:r>
        <w:rPr>
          <w:rFonts w:ascii="Times New Roman" w:eastAsia="Times New Roman" w:hAnsi="Times New Roman" w:cs="Times New Roman"/>
          <w:color w:val="4B4B4C"/>
          <w:sz w:val="22"/>
          <w:szCs w:val="22"/>
          <w:lang w:eastAsia="it-IT"/>
        </w:rPr>
        <w:t>d</w:t>
      </w:r>
      <w:r w:rsidR="008A04AE">
        <w:rPr>
          <w:rFonts w:ascii="Times New Roman" w:eastAsia="Times New Roman" w:hAnsi="Times New Roman" w:cs="Times New Roman"/>
          <w:color w:val="4B4B4C"/>
          <w:sz w:val="22"/>
          <w:szCs w:val="22"/>
          <w:lang w:eastAsia="it-IT"/>
        </w:rPr>
        <w:t>a</w:t>
      </w:r>
      <w:r>
        <w:rPr>
          <w:rFonts w:ascii="Times New Roman" w:eastAsia="Times New Roman" w:hAnsi="Times New Roman" w:cs="Times New Roman"/>
          <w:color w:val="4B4B4C"/>
          <w:sz w:val="22"/>
          <w:szCs w:val="22"/>
          <w:lang w:eastAsia="it-IT"/>
        </w:rPr>
        <w:t>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effettivo esercizio delle istanze nei confronti de</w:t>
      </w:r>
      <w:r w:rsidR="00C66B6E">
        <w:rPr>
          <w:rFonts w:ascii="Times New Roman" w:eastAsia="Times New Roman" w:hAnsi="Times New Roman" w:cs="Times New Roman"/>
          <w:color w:val="4B4B4C"/>
          <w:sz w:val="22"/>
          <w:szCs w:val="22"/>
          <w:lang w:eastAsia="it-IT"/>
        </w:rPr>
        <w:t>l</w:t>
      </w:r>
      <w:r>
        <w:rPr>
          <w:rFonts w:ascii="Times New Roman" w:eastAsia="Times New Roman" w:hAnsi="Times New Roman" w:cs="Times New Roman"/>
          <w:color w:val="4B4B4C"/>
          <w:sz w:val="22"/>
          <w:szCs w:val="22"/>
          <w:lang w:eastAsia="it-IT"/>
        </w:rPr>
        <w:t xml:space="preserve"> debitor</w:t>
      </w:r>
      <w:r w:rsidR="00C66B6E">
        <w:rPr>
          <w:rFonts w:ascii="Times New Roman" w:eastAsia="Times New Roman" w:hAnsi="Times New Roman" w:cs="Times New Roman"/>
          <w:color w:val="4B4B4C"/>
          <w:sz w:val="22"/>
          <w:szCs w:val="22"/>
          <w:lang w:eastAsia="it-IT"/>
        </w:rPr>
        <w:t>e</w:t>
      </w:r>
      <w:r>
        <w:rPr>
          <w:rFonts w:ascii="Times New Roman" w:eastAsia="Times New Roman" w:hAnsi="Times New Roman" w:cs="Times New Roman"/>
          <w:color w:val="4B4B4C"/>
          <w:sz w:val="22"/>
          <w:szCs w:val="22"/>
          <w:lang w:eastAsia="it-IT"/>
        </w:rPr>
        <w:t xml:space="preserve"> cedut</w:t>
      </w:r>
      <w:r w:rsidR="00C66B6E">
        <w:rPr>
          <w:rFonts w:ascii="Times New Roman" w:eastAsia="Times New Roman" w:hAnsi="Times New Roman" w:cs="Times New Roman"/>
          <w:color w:val="4B4B4C"/>
          <w:sz w:val="22"/>
          <w:szCs w:val="22"/>
          <w:lang w:eastAsia="it-IT"/>
        </w:rPr>
        <w:t>o</w:t>
      </w:r>
      <w:r>
        <w:rPr>
          <w:rStyle w:val="Rimandonotaapidipagina"/>
          <w:rFonts w:ascii="Times New Roman" w:eastAsia="Times New Roman" w:hAnsi="Times New Roman" w:cs="Times New Roman"/>
          <w:color w:val="4B4B4C"/>
          <w:sz w:val="22"/>
          <w:szCs w:val="22"/>
          <w:lang w:eastAsia="it-IT"/>
        </w:rPr>
        <w:footnoteReference w:id="36"/>
      </w:r>
      <w:r>
        <w:rPr>
          <w:rFonts w:ascii="Times New Roman" w:eastAsia="Times New Roman" w:hAnsi="Times New Roman" w:cs="Times New Roman"/>
          <w:color w:val="4B4B4C"/>
          <w:sz w:val="22"/>
          <w:szCs w:val="22"/>
          <w:lang w:eastAsia="it-IT"/>
        </w:rPr>
        <w:t>.</w:t>
      </w:r>
    </w:p>
    <w:p w:rsidR="00E8053C" w:rsidRDefault="00E8053C"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Dunque, nell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interesse degli operatori i crediti, quantomeno quelli deteriorati negoziati nel relativo mercato, vengono in rilievo non solo </w:t>
      </w:r>
      <w:r w:rsidRPr="00E8053C">
        <w:rPr>
          <w:rFonts w:ascii="Times New Roman" w:eastAsia="Times New Roman" w:hAnsi="Times New Roman" w:cs="Times New Roman"/>
          <w:i/>
          <w:iCs/>
          <w:color w:val="4B4B4C"/>
          <w:sz w:val="22"/>
          <w:szCs w:val="22"/>
          <w:lang w:eastAsia="it-IT"/>
        </w:rPr>
        <w:t>sub specie</w:t>
      </w:r>
      <w:r>
        <w:rPr>
          <w:rFonts w:ascii="Times New Roman" w:eastAsia="Times New Roman" w:hAnsi="Times New Roman" w:cs="Times New Roman"/>
          <w:color w:val="4B4B4C"/>
          <w:sz w:val="22"/>
          <w:szCs w:val="22"/>
          <w:lang w:eastAsia="it-IT"/>
        </w:rPr>
        <w:t xml:space="preserve"> di obbligazioni, ossia come diritti </w:t>
      </w:r>
      <w:r w:rsidR="00C66B6E">
        <w:rPr>
          <w:rFonts w:ascii="Times New Roman" w:eastAsia="Times New Roman" w:hAnsi="Times New Roman" w:cs="Times New Roman"/>
          <w:color w:val="4B4B4C"/>
          <w:sz w:val="22"/>
          <w:szCs w:val="22"/>
          <w:lang w:eastAsia="it-IT"/>
        </w:rPr>
        <w:t xml:space="preserve">personali </w:t>
      </w:r>
      <w:r>
        <w:rPr>
          <w:rFonts w:ascii="Times New Roman" w:eastAsia="Times New Roman" w:hAnsi="Times New Roman" w:cs="Times New Roman"/>
          <w:color w:val="4B4B4C"/>
          <w:sz w:val="22"/>
          <w:szCs w:val="22"/>
          <w:lang w:eastAsia="it-IT"/>
        </w:rPr>
        <w:t>vantati nei confronti del debitore tenuto all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adempimento, ma anche come beni </w:t>
      </w:r>
      <w:r>
        <w:rPr>
          <w:rFonts w:ascii="Times New Roman" w:eastAsia="Times New Roman" w:hAnsi="Times New Roman" w:cs="Times New Roman"/>
          <w:color w:val="4B4B4C"/>
          <w:sz w:val="22"/>
          <w:szCs w:val="22"/>
          <w:lang w:eastAsia="it-IT"/>
        </w:rPr>
        <w:lastRenderedPageBreak/>
        <w:t>immateriali suscettibili di generare una loro autonoma utilità anche nella fase della mera circolazione o titolarità, a prescindere – almeno in una prima fase – dalla concreta escussione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obbligato. E poiché i beni giuridici si identificano in ragione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interesse soggettivo che su di esso si incentra, i crediti deteriorati di origine bancaria, in maniera peculiare e diversa dai crediti “ordinari”, finiscono col meritare una tutela specifica oggettivizzata, cioè – intendiamo dire – volta a preservare quella nuova forma di ricchezza che essi incorporano. </w:t>
      </w:r>
    </w:p>
    <w:p w:rsidR="00E8053C" w:rsidRDefault="00E8053C"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Il cessionario, quindi, avrà tutela non solo nei confronti del debitore ceduto inadempiente</w:t>
      </w:r>
      <w:r w:rsidR="00C66B6E">
        <w:rPr>
          <w:rFonts w:ascii="Times New Roman" w:eastAsia="Times New Roman" w:hAnsi="Times New Roman" w:cs="Times New Roman"/>
          <w:color w:val="4B4B4C"/>
          <w:sz w:val="22"/>
          <w:szCs w:val="22"/>
          <w:lang w:eastAsia="it-IT"/>
        </w:rPr>
        <w:t xml:space="preserve"> o dei terzi che rendano impossibile la prestazione</w:t>
      </w:r>
      <w:r>
        <w:rPr>
          <w:rFonts w:ascii="Times New Roman" w:eastAsia="Times New Roman" w:hAnsi="Times New Roman" w:cs="Times New Roman"/>
          <w:color w:val="4B4B4C"/>
          <w:sz w:val="22"/>
          <w:szCs w:val="22"/>
          <w:lang w:eastAsia="it-IT"/>
        </w:rPr>
        <w:t>, ma anche nei confronti del cedente che abbia ceduto un credito sprovvisto delle qualità promesse o, quantomeno, del valore di circolazione in considerazione del quale lo stesso ha costituito oggetto di cessione.</w:t>
      </w:r>
    </w:p>
    <w:p w:rsidR="00E8053C" w:rsidRDefault="00E8053C" w:rsidP="00B106E0">
      <w:pPr>
        <w:spacing w:line="360" w:lineRule="auto"/>
        <w:jc w:val="both"/>
        <w:rPr>
          <w:rFonts w:ascii="Times New Roman" w:eastAsia="Times New Roman" w:hAnsi="Times New Roman" w:cs="Times New Roman"/>
          <w:color w:val="4B4B4C"/>
          <w:sz w:val="22"/>
          <w:szCs w:val="22"/>
          <w:lang w:eastAsia="it-IT"/>
        </w:rPr>
      </w:pPr>
    </w:p>
    <w:p w:rsidR="00333B46" w:rsidRDefault="00333B46" w:rsidP="00B106E0">
      <w:pPr>
        <w:spacing w:line="360" w:lineRule="auto"/>
        <w:jc w:val="both"/>
        <w:rPr>
          <w:rFonts w:ascii="Times New Roman" w:eastAsia="Times New Roman" w:hAnsi="Times New Roman" w:cs="Times New Roman"/>
          <w:color w:val="4B4B4C"/>
          <w:sz w:val="22"/>
          <w:szCs w:val="22"/>
          <w:lang w:eastAsia="it-IT"/>
        </w:rPr>
      </w:pPr>
    </w:p>
    <w:p w:rsidR="00333B46" w:rsidRPr="00AB6935" w:rsidRDefault="00333B46" w:rsidP="00B106E0">
      <w:pPr>
        <w:keepNext/>
        <w:widowControl w:val="0"/>
        <w:spacing w:after="240" w:line="360" w:lineRule="auto"/>
        <w:jc w:val="both"/>
        <w:rPr>
          <w:rFonts w:ascii="Times New Roman" w:hAnsi="Times New Roman" w:cs="Times New Roman"/>
          <w:i/>
          <w:iCs/>
          <w:sz w:val="22"/>
          <w:szCs w:val="22"/>
        </w:rPr>
      </w:pPr>
      <w:r>
        <w:rPr>
          <w:rFonts w:ascii="Times New Roman" w:hAnsi="Times New Roman" w:cs="Times New Roman"/>
          <w:i/>
          <w:iCs/>
          <w:sz w:val="22"/>
          <w:szCs w:val="22"/>
        </w:rPr>
        <w:t>5</w:t>
      </w:r>
      <w:r w:rsidRPr="00AB6935">
        <w:rPr>
          <w:rFonts w:ascii="Times New Roman" w:hAnsi="Times New Roman" w:cs="Times New Roman"/>
          <w:i/>
          <w:iCs/>
          <w:sz w:val="22"/>
          <w:szCs w:val="22"/>
        </w:rPr>
        <w:t xml:space="preserve">. </w:t>
      </w:r>
      <w:r>
        <w:rPr>
          <w:rFonts w:ascii="Times New Roman" w:hAnsi="Times New Roman" w:cs="Times New Roman"/>
          <w:i/>
          <w:iCs/>
          <w:sz w:val="22"/>
          <w:szCs w:val="22"/>
        </w:rPr>
        <w:t>La tutela del valore economico dei crediti deteriorati</w:t>
      </w:r>
    </w:p>
    <w:p w:rsidR="00E8053C" w:rsidRDefault="00E8053C"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La tutela aquiliana del credito non costituisce certo una novità e, men che meno, è riservata solo agli NPE</w:t>
      </w:r>
      <w:r w:rsidR="00CE687D" w:rsidRPr="000407E2">
        <w:rPr>
          <w:rStyle w:val="Rimandonotaapidipagina"/>
          <w:rFonts w:ascii="Times New Roman" w:eastAsia="Times New Roman" w:hAnsi="Times New Roman" w:cs="Times New Roman"/>
          <w:color w:val="4B4B4C"/>
          <w:sz w:val="22"/>
          <w:szCs w:val="22"/>
          <w:lang w:eastAsia="it-IT"/>
        </w:rPr>
        <w:footnoteReference w:id="37"/>
      </w:r>
      <w:r w:rsidRPr="000407E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 Tuttavia, un conto è accordare tutela risarcitoria </w:t>
      </w:r>
      <w:r w:rsidRPr="00E8053C">
        <w:rPr>
          <w:rFonts w:ascii="Times New Roman" w:eastAsia="Times New Roman" w:hAnsi="Times New Roman" w:cs="Times New Roman"/>
          <w:i/>
          <w:iCs/>
          <w:color w:val="4B4B4C"/>
          <w:sz w:val="22"/>
          <w:szCs w:val="22"/>
          <w:lang w:eastAsia="it-IT"/>
        </w:rPr>
        <w:t>ex</w:t>
      </w:r>
      <w:r>
        <w:rPr>
          <w:rFonts w:ascii="Times New Roman" w:eastAsia="Times New Roman" w:hAnsi="Times New Roman" w:cs="Times New Roman"/>
          <w:color w:val="4B4B4C"/>
          <w:sz w:val="22"/>
          <w:szCs w:val="22"/>
          <w:lang w:eastAsia="it-IT"/>
        </w:rPr>
        <w:t xml:space="preserve"> art. 2043 c.c. al creditore il quale abbia subìto un danno nella capacità del suo debitore di adempiere all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obbligazione assunta; altra cosa è riconoscere la tutela contrattuale al cessionario nei confronti del cedente per il sol fatto che il credito cedutogli si riveli avente un valore di scambio sul mercato degli NPE inferiore rispetto a quello promesso, a prescindere dalla circostanza che il debitore risulti poi effettivamente inadempiente oppure no.</w:t>
      </w:r>
    </w:p>
    <w:p w:rsidR="001427E0" w:rsidRDefault="00E8053C"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In tal senso appare esemplare </w:t>
      </w:r>
      <w:r w:rsidR="000407E2">
        <w:rPr>
          <w:rFonts w:ascii="Times New Roman" w:eastAsia="Times New Roman" w:hAnsi="Times New Roman" w:cs="Times New Roman"/>
          <w:color w:val="4B4B4C"/>
          <w:sz w:val="22"/>
          <w:szCs w:val="22"/>
          <w:lang w:eastAsia="it-IT"/>
        </w:rPr>
        <w:t>la vicenda</w:t>
      </w:r>
      <w:r>
        <w:rPr>
          <w:rFonts w:ascii="Times New Roman" w:eastAsia="Times New Roman" w:hAnsi="Times New Roman" w:cs="Times New Roman"/>
          <w:color w:val="4B4B4C"/>
          <w:sz w:val="22"/>
          <w:szCs w:val="22"/>
          <w:lang w:eastAsia="it-IT"/>
        </w:rPr>
        <w:t xml:space="preserve"> sul</w:t>
      </w:r>
      <w:r w:rsidR="000407E2">
        <w:rPr>
          <w:rFonts w:ascii="Times New Roman" w:eastAsia="Times New Roman" w:hAnsi="Times New Roman" w:cs="Times New Roman"/>
          <w:color w:val="4B4B4C"/>
          <w:sz w:val="22"/>
          <w:szCs w:val="22"/>
          <w:lang w:eastAsia="it-IT"/>
        </w:rPr>
        <w:t>la</w:t>
      </w:r>
      <w:r>
        <w:rPr>
          <w:rFonts w:ascii="Times New Roman" w:eastAsia="Times New Roman" w:hAnsi="Times New Roman" w:cs="Times New Roman"/>
          <w:color w:val="4B4B4C"/>
          <w:sz w:val="22"/>
          <w:szCs w:val="22"/>
          <w:lang w:eastAsia="it-IT"/>
        </w:rPr>
        <w:t xml:space="preserve"> quale</w:t>
      </w:r>
      <w:r w:rsidR="000407E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 </w:t>
      </w:r>
      <w:r w:rsidR="000407E2">
        <w:rPr>
          <w:rFonts w:ascii="Times New Roman" w:eastAsia="Times New Roman" w:hAnsi="Times New Roman" w:cs="Times New Roman"/>
          <w:color w:val="4B4B4C"/>
          <w:sz w:val="22"/>
          <w:szCs w:val="22"/>
          <w:lang w:eastAsia="it-IT"/>
        </w:rPr>
        <w:t xml:space="preserve">pochi anni addietro, </w:t>
      </w:r>
      <w:r>
        <w:rPr>
          <w:rFonts w:ascii="Times New Roman" w:eastAsia="Times New Roman" w:hAnsi="Times New Roman" w:cs="Times New Roman"/>
          <w:color w:val="4B4B4C"/>
          <w:sz w:val="22"/>
          <w:szCs w:val="22"/>
          <w:lang w:eastAsia="it-IT"/>
        </w:rPr>
        <w:t>si è soffermata per la prima volta la Cassazione</w:t>
      </w:r>
      <w:r w:rsidR="00107CFC">
        <w:rPr>
          <w:rStyle w:val="Rimandonotaapidipagina"/>
          <w:rFonts w:ascii="Times New Roman" w:eastAsia="Times New Roman" w:hAnsi="Times New Roman" w:cs="Times New Roman"/>
          <w:color w:val="4B4B4C"/>
          <w:sz w:val="22"/>
          <w:szCs w:val="22"/>
          <w:lang w:eastAsia="it-IT"/>
        </w:rPr>
        <w:footnoteReference w:id="38"/>
      </w:r>
      <w:r>
        <w:rPr>
          <w:rFonts w:ascii="Times New Roman" w:eastAsia="Times New Roman" w:hAnsi="Times New Roman" w:cs="Times New Roman"/>
          <w:color w:val="4B4B4C"/>
          <w:sz w:val="22"/>
          <w:szCs w:val="22"/>
          <w:lang w:eastAsia="it-IT"/>
        </w:rPr>
        <w:t>.</w:t>
      </w:r>
    </w:p>
    <w:p w:rsidR="00313B3C" w:rsidRDefault="001427E0"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Il caso concerne la cessione </w:t>
      </w:r>
      <w:r w:rsidRPr="001427E0">
        <w:rPr>
          <w:rFonts w:ascii="Times New Roman" w:eastAsia="Times New Roman" w:hAnsi="Times New Roman" w:cs="Times New Roman"/>
          <w:i/>
          <w:iCs/>
          <w:color w:val="4B4B4C"/>
          <w:sz w:val="22"/>
          <w:szCs w:val="22"/>
          <w:lang w:eastAsia="it-IT"/>
        </w:rPr>
        <w:t>pro soluto</w:t>
      </w:r>
      <w:r>
        <w:rPr>
          <w:rFonts w:ascii="Times New Roman" w:eastAsia="Times New Roman" w:hAnsi="Times New Roman" w:cs="Times New Roman"/>
          <w:color w:val="4B4B4C"/>
          <w:sz w:val="22"/>
          <w:szCs w:val="22"/>
          <w:lang w:eastAsia="it-IT"/>
        </w:rPr>
        <w:t xml:space="preserve"> di alcuni crediti</w:t>
      </w:r>
      <w:r w:rsidR="00313B3C">
        <w:rPr>
          <w:rFonts w:ascii="Times New Roman" w:eastAsia="Times New Roman" w:hAnsi="Times New Roman" w:cs="Times New Roman"/>
          <w:color w:val="4B4B4C"/>
          <w:sz w:val="22"/>
          <w:szCs w:val="22"/>
          <w:lang w:eastAsia="it-IT"/>
        </w:rPr>
        <w:t xml:space="preserve"> deteriorati, residui di una maggiore esposizione debitoria che una società commerciale divenuta insolvente aveva nei confronti di una banca. I debiti venivano ceduti a circa il 20% del valore nominale e indicati come garantiti da </w:t>
      </w:r>
      <w:r>
        <w:rPr>
          <w:rFonts w:ascii="Times New Roman" w:eastAsia="Times New Roman" w:hAnsi="Times New Roman" w:cs="Times New Roman"/>
          <w:color w:val="4B4B4C"/>
          <w:sz w:val="22"/>
          <w:szCs w:val="22"/>
          <w:lang w:eastAsia="it-IT"/>
        </w:rPr>
        <w:t>plurime ipoteche. A</w:t>
      </w:r>
      <w:r w:rsidRPr="00571309">
        <w:rPr>
          <w:rFonts w:ascii="Times New Roman" w:eastAsia="Times New Roman" w:hAnsi="Times New Roman" w:cs="Times New Roman"/>
          <w:color w:val="4B4B4C"/>
          <w:sz w:val="22"/>
          <w:szCs w:val="22"/>
          <w:lang w:eastAsia="it-IT"/>
        </w:rPr>
        <w:t>l momento della presentazione dell</w:t>
      </w:r>
      <w:r w:rsidR="00501E32">
        <w:rPr>
          <w:rFonts w:ascii="Times New Roman" w:eastAsia="Times New Roman" w:hAnsi="Times New Roman" w:cs="Times New Roman"/>
          <w:color w:val="4B4B4C"/>
          <w:sz w:val="22"/>
          <w:szCs w:val="22"/>
          <w:lang w:eastAsia="it-IT"/>
        </w:rPr>
        <w:t>’</w:t>
      </w:r>
      <w:r w:rsidRPr="00571309">
        <w:rPr>
          <w:rFonts w:ascii="Times New Roman" w:eastAsia="Times New Roman" w:hAnsi="Times New Roman" w:cs="Times New Roman"/>
          <w:color w:val="4B4B4C"/>
          <w:sz w:val="22"/>
          <w:szCs w:val="22"/>
          <w:lang w:eastAsia="it-IT"/>
        </w:rPr>
        <w:t>annotazione d</w:t>
      </w:r>
      <w:r>
        <w:rPr>
          <w:rFonts w:ascii="Times New Roman" w:eastAsia="Times New Roman" w:hAnsi="Times New Roman" w:cs="Times New Roman"/>
          <w:color w:val="4B4B4C"/>
          <w:sz w:val="22"/>
          <w:szCs w:val="22"/>
          <w:lang w:eastAsia="it-IT"/>
        </w:rPr>
        <w:t>ella</w:t>
      </w:r>
      <w:r w:rsidRPr="00571309">
        <w:rPr>
          <w:rFonts w:ascii="Times New Roman" w:eastAsia="Times New Roman" w:hAnsi="Times New Roman" w:cs="Times New Roman"/>
          <w:color w:val="4B4B4C"/>
          <w:sz w:val="22"/>
          <w:szCs w:val="22"/>
          <w:lang w:eastAsia="it-IT"/>
        </w:rPr>
        <w:t xml:space="preserve"> surroga a margine delle suddette </w:t>
      </w:r>
      <w:r>
        <w:rPr>
          <w:rFonts w:ascii="Times New Roman" w:eastAsia="Times New Roman" w:hAnsi="Times New Roman" w:cs="Times New Roman"/>
          <w:color w:val="4B4B4C"/>
          <w:sz w:val="22"/>
          <w:szCs w:val="22"/>
          <w:lang w:eastAsia="it-IT"/>
        </w:rPr>
        <w:t xml:space="preserve">iscrizioni </w:t>
      </w:r>
      <w:r w:rsidRPr="00571309">
        <w:rPr>
          <w:rFonts w:ascii="Times New Roman" w:eastAsia="Times New Roman" w:hAnsi="Times New Roman" w:cs="Times New Roman"/>
          <w:color w:val="4B4B4C"/>
          <w:sz w:val="22"/>
          <w:szCs w:val="22"/>
          <w:lang w:eastAsia="it-IT"/>
        </w:rPr>
        <w:t>ipotec</w:t>
      </w:r>
      <w:r>
        <w:rPr>
          <w:rFonts w:ascii="Times New Roman" w:eastAsia="Times New Roman" w:hAnsi="Times New Roman" w:cs="Times New Roman"/>
          <w:color w:val="4B4B4C"/>
          <w:sz w:val="22"/>
          <w:szCs w:val="22"/>
          <w:lang w:eastAsia="it-IT"/>
        </w:rPr>
        <w:t xml:space="preserve">arie, la </w:t>
      </w:r>
      <w:r w:rsidR="00313B3C">
        <w:rPr>
          <w:rFonts w:ascii="Times New Roman" w:eastAsia="Times New Roman" w:hAnsi="Times New Roman" w:cs="Times New Roman"/>
          <w:color w:val="4B4B4C"/>
          <w:sz w:val="22"/>
          <w:szCs w:val="22"/>
          <w:lang w:eastAsia="it-IT"/>
        </w:rPr>
        <w:t xml:space="preserve">società </w:t>
      </w:r>
      <w:r>
        <w:rPr>
          <w:rFonts w:ascii="Times New Roman" w:eastAsia="Times New Roman" w:hAnsi="Times New Roman" w:cs="Times New Roman"/>
          <w:color w:val="4B4B4C"/>
          <w:sz w:val="22"/>
          <w:szCs w:val="22"/>
          <w:lang w:eastAsia="it-IT"/>
        </w:rPr>
        <w:t xml:space="preserve">cessionaria si avvedeva che due delle tre ipoteche che </w:t>
      </w:r>
      <w:r>
        <w:rPr>
          <w:rFonts w:ascii="Times New Roman" w:eastAsia="Times New Roman" w:hAnsi="Times New Roman" w:cs="Times New Roman"/>
          <w:color w:val="4B4B4C"/>
          <w:sz w:val="22"/>
          <w:szCs w:val="22"/>
          <w:lang w:eastAsia="it-IT"/>
        </w:rPr>
        <w:lastRenderedPageBreak/>
        <w:t xml:space="preserve">assistevano la linea di credito </w:t>
      </w:r>
      <w:r w:rsidRPr="00571309">
        <w:rPr>
          <w:rFonts w:ascii="Times New Roman" w:eastAsia="Times New Roman" w:hAnsi="Times New Roman" w:cs="Times New Roman"/>
          <w:color w:val="4B4B4C"/>
          <w:sz w:val="22"/>
          <w:szCs w:val="22"/>
          <w:lang w:eastAsia="it-IT"/>
        </w:rPr>
        <w:t xml:space="preserve">erano state cancellate </w:t>
      </w:r>
      <w:r>
        <w:rPr>
          <w:rFonts w:ascii="Times New Roman" w:eastAsia="Times New Roman" w:hAnsi="Times New Roman" w:cs="Times New Roman"/>
          <w:color w:val="4B4B4C"/>
          <w:sz w:val="22"/>
          <w:szCs w:val="22"/>
          <w:lang w:eastAsia="it-IT"/>
        </w:rPr>
        <w:t>in data anteriore</w:t>
      </w:r>
      <w:r w:rsidRPr="00571309">
        <w:rPr>
          <w:rFonts w:ascii="Times New Roman" w:eastAsia="Times New Roman" w:hAnsi="Times New Roman" w:cs="Times New Roman"/>
          <w:color w:val="4B4B4C"/>
          <w:sz w:val="22"/>
          <w:szCs w:val="22"/>
          <w:lang w:eastAsia="it-IT"/>
        </w:rPr>
        <w:t>, all</w:t>
      </w:r>
      <w:r w:rsidR="00501E32">
        <w:rPr>
          <w:rFonts w:ascii="Times New Roman" w:eastAsia="Times New Roman" w:hAnsi="Times New Roman" w:cs="Times New Roman"/>
          <w:color w:val="4B4B4C"/>
          <w:sz w:val="22"/>
          <w:szCs w:val="22"/>
          <w:lang w:eastAsia="it-IT"/>
        </w:rPr>
        <w:t>’</w:t>
      </w:r>
      <w:r w:rsidRPr="00571309">
        <w:rPr>
          <w:rFonts w:ascii="Times New Roman" w:eastAsia="Times New Roman" w:hAnsi="Times New Roman" w:cs="Times New Roman"/>
          <w:color w:val="4B4B4C"/>
          <w:sz w:val="22"/>
          <w:szCs w:val="22"/>
          <w:lang w:eastAsia="it-IT"/>
        </w:rPr>
        <w:t>esito dell</w:t>
      </w:r>
      <w:r w:rsidR="00501E32">
        <w:rPr>
          <w:rFonts w:ascii="Times New Roman" w:eastAsia="Times New Roman" w:hAnsi="Times New Roman" w:cs="Times New Roman"/>
          <w:color w:val="4B4B4C"/>
          <w:sz w:val="22"/>
          <w:szCs w:val="22"/>
          <w:lang w:eastAsia="it-IT"/>
        </w:rPr>
        <w:t>’</w:t>
      </w:r>
      <w:r w:rsidRPr="00571309">
        <w:rPr>
          <w:rFonts w:ascii="Times New Roman" w:eastAsia="Times New Roman" w:hAnsi="Times New Roman" w:cs="Times New Roman"/>
          <w:color w:val="4B4B4C"/>
          <w:sz w:val="22"/>
          <w:szCs w:val="22"/>
          <w:lang w:eastAsia="it-IT"/>
        </w:rPr>
        <w:t xml:space="preserve">espropriazione forzata sui </w:t>
      </w:r>
      <w:r w:rsidR="000407E2">
        <w:rPr>
          <w:rFonts w:ascii="Times New Roman" w:eastAsia="Times New Roman" w:hAnsi="Times New Roman" w:cs="Times New Roman"/>
          <w:color w:val="4B4B4C"/>
          <w:sz w:val="22"/>
          <w:szCs w:val="22"/>
          <w:lang w:eastAsia="it-IT"/>
        </w:rPr>
        <w:t xml:space="preserve">medesimi </w:t>
      </w:r>
      <w:r w:rsidRPr="00571309">
        <w:rPr>
          <w:rFonts w:ascii="Times New Roman" w:eastAsia="Times New Roman" w:hAnsi="Times New Roman" w:cs="Times New Roman"/>
          <w:color w:val="4B4B4C"/>
          <w:sz w:val="22"/>
          <w:szCs w:val="22"/>
          <w:lang w:eastAsia="it-IT"/>
        </w:rPr>
        <w:t xml:space="preserve">immobili ipotecati avviata dalla stessa </w:t>
      </w:r>
      <w:r w:rsidR="00313B3C">
        <w:rPr>
          <w:rFonts w:ascii="Times New Roman" w:eastAsia="Times New Roman" w:hAnsi="Times New Roman" w:cs="Times New Roman"/>
          <w:color w:val="4B4B4C"/>
          <w:sz w:val="22"/>
          <w:szCs w:val="22"/>
          <w:lang w:eastAsia="it-IT"/>
        </w:rPr>
        <w:t>b</w:t>
      </w:r>
      <w:r w:rsidRPr="00571309">
        <w:rPr>
          <w:rFonts w:ascii="Times New Roman" w:eastAsia="Times New Roman" w:hAnsi="Times New Roman" w:cs="Times New Roman"/>
          <w:color w:val="4B4B4C"/>
          <w:sz w:val="22"/>
          <w:szCs w:val="22"/>
          <w:lang w:eastAsia="it-IT"/>
        </w:rPr>
        <w:t xml:space="preserve">anca </w:t>
      </w:r>
      <w:r w:rsidR="000407E2">
        <w:rPr>
          <w:rFonts w:ascii="Times New Roman" w:eastAsia="Times New Roman" w:hAnsi="Times New Roman" w:cs="Times New Roman"/>
          <w:color w:val="4B4B4C"/>
          <w:sz w:val="22"/>
          <w:szCs w:val="22"/>
          <w:lang w:eastAsia="it-IT"/>
        </w:rPr>
        <w:t xml:space="preserve">cedente </w:t>
      </w:r>
      <w:r w:rsidR="00313B3C">
        <w:rPr>
          <w:rFonts w:ascii="Times New Roman" w:eastAsia="Times New Roman" w:hAnsi="Times New Roman" w:cs="Times New Roman"/>
          <w:color w:val="4B4B4C"/>
          <w:sz w:val="22"/>
          <w:szCs w:val="22"/>
          <w:lang w:eastAsia="it-IT"/>
        </w:rPr>
        <w:t xml:space="preserve">per altri crediti vantati nei confronti della medesima </w:t>
      </w:r>
      <w:r w:rsidR="000407E2">
        <w:rPr>
          <w:rFonts w:ascii="Times New Roman" w:eastAsia="Times New Roman" w:hAnsi="Times New Roman" w:cs="Times New Roman"/>
          <w:color w:val="4B4B4C"/>
          <w:sz w:val="22"/>
          <w:szCs w:val="22"/>
          <w:lang w:eastAsia="it-IT"/>
        </w:rPr>
        <w:t xml:space="preserve">società </w:t>
      </w:r>
      <w:r w:rsidR="00313B3C">
        <w:rPr>
          <w:rFonts w:ascii="Times New Roman" w:eastAsia="Times New Roman" w:hAnsi="Times New Roman" w:cs="Times New Roman"/>
          <w:color w:val="4B4B4C"/>
          <w:sz w:val="22"/>
          <w:szCs w:val="22"/>
          <w:lang w:eastAsia="it-IT"/>
        </w:rPr>
        <w:t>debitrice.</w:t>
      </w:r>
    </w:p>
    <w:p w:rsidR="00313B3C" w:rsidRDefault="00AF42A3"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La </w:t>
      </w:r>
      <w:r w:rsidR="00313B3C">
        <w:rPr>
          <w:rFonts w:ascii="Times New Roman" w:eastAsia="Times New Roman" w:hAnsi="Times New Roman" w:cs="Times New Roman"/>
          <w:color w:val="4B4B4C"/>
          <w:sz w:val="22"/>
          <w:szCs w:val="22"/>
          <w:lang w:eastAsia="it-IT"/>
        </w:rPr>
        <w:t xml:space="preserve">cessionaria </w:t>
      </w:r>
      <w:r>
        <w:rPr>
          <w:rFonts w:ascii="Times New Roman" w:eastAsia="Times New Roman" w:hAnsi="Times New Roman" w:cs="Times New Roman"/>
          <w:color w:val="4B4B4C"/>
          <w:sz w:val="22"/>
          <w:szCs w:val="22"/>
          <w:lang w:eastAsia="it-IT"/>
        </w:rPr>
        <w:t xml:space="preserve">agiva in giudizio chiedendo il risarcimento del danno, </w:t>
      </w:r>
      <w:r w:rsidR="00D468DA">
        <w:rPr>
          <w:rFonts w:ascii="Times New Roman" w:eastAsia="Times New Roman" w:hAnsi="Times New Roman" w:cs="Times New Roman"/>
          <w:color w:val="4B4B4C"/>
          <w:sz w:val="22"/>
          <w:szCs w:val="22"/>
          <w:lang w:eastAsia="it-IT"/>
        </w:rPr>
        <w:t>ma non la risoluzione del contratto. La domanda risarcitoria veniva</w:t>
      </w:r>
      <w:r>
        <w:rPr>
          <w:rFonts w:ascii="Times New Roman" w:eastAsia="Times New Roman" w:hAnsi="Times New Roman" w:cs="Times New Roman"/>
          <w:color w:val="4B4B4C"/>
          <w:sz w:val="22"/>
          <w:szCs w:val="22"/>
          <w:lang w:eastAsia="it-IT"/>
        </w:rPr>
        <w:t xml:space="preserve"> parzialmente accolta dai giudici di merito.</w:t>
      </w:r>
    </w:p>
    <w:p w:rsidR="00571309" w:rsidRPr="00571309" w:rsidRDefault="00AF42A3"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La cedente proponeva ricorso per cassazione, deducendo – fra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altro – il</w:t>
      </w:r>
      <w:r w:rsidR="00571309" w:rsidRPr="00571309">
        <w:rPr>
          <w:rFonts w:ascii="Times New Roman" w:eastAsia="Times New Roman" w:hAnsi="Times New Roman" w:cs="Times New Roman"/>
          <w:color w:val="4B4B4C"/>
          <w:sz w:val="22"/>
          <w:szCs w:val="22"/>
          <w:lang w:eastAsia="it-IT"/>
        </w:rPr>
        <w:t xml:space="preserve"> difetto di prova circa la sussistenza del danno, che si sarebbe potuta affermare solo ove fosse stato accertato che </w:t>
      </w:r>
      <w:r>
        <w:rPr>
          <w:rFonts w:ascii="Times New Roman" w:eastAsia="Times New Roman" w:hAnsi="Times New Roman" w:cs="Times New Roman"/>
          <w:color w:val="4B4B4C"/>
          <w:sz w:val="22"/>
          <w:szCs w:val="22"/>
          <w:lang w:eastAsia="it-IT"/>
        </w:rPr>
        <w:t xml:space="preserve">pure </w:t>
      </w:r>
      <w:r w:rsidR="00571309" w:rsidRPr="00571309">
        <w:rPr>
          <w:rFonts w:ascii="Times New Roman" w:eastAsia="Times New Roman" w:hAnsi="Times New Roman" w:cs="Times New Roman"/>
          <w:color w:val="4B4B4C"/>
          <w:sz w:val="22"/>
          <w:szCs w:val="22"/>
          <w:lang w:eastAsia="it-IT"/>
        </w:rPr>
        <w:t>quell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ultima </w:t>
      </w:r>
      <w:r w:rsidR="00571309" w:rsidRPr="00571309">
        <w:rPr>
          <w:rFonts w:ascii="Times New Roman" w:eastAsia="Times New Roman" w:hAnsi="Times New Roman" w:cs="Times New Roman"/>
          <w:color w:val="4B4B4C"/>
          <w:sz w:val="22"/>
          <w:szCs w:val="22"/>
          <w:lang w:eastAsia="it-IT"/>
        </w:rPr>
        <w:t xml:space="preserve">ipoteca </w:t>
      </w:r>
      <w:r>
        <w:rPr>
          <w:rFonts w:ascii="Times New Roman" w:eastAsia="Times New Roman" w:hAnsi="Times New Roman" w:cs="Times New Roman"/>
          <w:color w:val="4B4B4C"/>
          <w:sz w:val="22"/>
          <w:szCs w:val="22"/>
          <w:lang w:eastAsia="it-IT"/>
        </w:rPr>
        <w:t>ancora efficace aveva</w:t>
      </w:r>
      <w:r w:rsidR="00571309" w:rsidRPr="00571309">
        <w:rPr>
          <w:rFonts w:ascii="Times New Roman" w:eastAsia="Times New Roman" w:hAnsi="Times New Roman" w:cs="Times New Roman"/>
          <w:color w:val="4B4B4C"/>
          <w:sz w:val="22"/>
          <w:szCs w:val="22"/>
          <w:lang w:eastAsia="it-IT"/>
        </w:rPr>
        <w:t xml:space="preserve"> valore inadeguato alla soddisfazione dell</w:t>
      </w:r>
      <w:r w:rsidR="00501E32">
        <w:rPr>
          <w:rFonts w:ascii="Times New Roman" w:eastAsia="Times New Roman" w:hAnsi="Times New Roman" w:cs="Times New Roman"/>
          <w:color w:val="4B4B4C"/>
          <w:sz w:val="22"/>
          <w:szCs w:val="22"/>
          <w:lang w:eastAsia="it-IT"/>
        </w:rPr>
        <w:t>’</w:t>
      </w:r>
      <w:r w:rsidR="00571309" w:rsidRPr="00571309">
        <w:rPr>
          <w:rFonts w:ascii="Times New Roman" w:eastAsia="Times New Roman" w:hAnsi="Times New Roman" w:cs="Times New Roman"/>
          <w:color w:val="4B4B4C"/>
          <w:sz w:val="22"/>
          <w:szCs w:val="22"/>
          <w:lang w:eastAsia="it-IT"/>
        </w:rPr>
        <w:t>intero credito ceduto.</w:t>
      </w:r>
    </w:p>
    <w:p w:rsidR="00D468DA" w:rsidRDefault="00D468DA"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La Cassazione, rilevata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inammissibilità del ricorso per </w:t>
      </w:r>
      <w:r w:rsidRPr="00571309">
        <w:rPr>
          <w:rFonts w:ascii="Times New Roman" w:eastAsia="Times New Roman" w:hAnsi="Times New Roman" w:cs="Times New Roman"/>
          <w:color w:val="4B4B4C"/>
          <w:sz w:val="22"/>
          <w:szCs w:val="22"/>
          <w:lang w:eastAsia="it-IT"/>
        </w:rPr>
        <w:t>difetto di specificità</w:t>
      </w:r>
      <w:r>
        <w:rPr>
          <w:rFonts w:ascii="Times New Roman" w:eastAsia="Times New Roman" w:hAnsi="Times New Roman" w:cs="Times New Roman"/>
          <w:color w:val="4B4B4C"/>
          <w:sz w:val="22"/>
          <w:szCs w:val="22"/>
          <w:lang w:eastAsia="it-IT"/>
        </w:rPr>
        <w:t>, ha esaminato l</w:t>
      </w:r>
      <w:r w:rsidRPr="00571309">
        <w:rPr>
          <w:rFonts w:ascii="Times New Roman" w:eastAsia="Times New Roman" w:hAnsi="Times New Roman" w:cs="Times New Roman"/>
          <w:color w:val="4B4B4C"/>
          <w:sz w:val="22"/>
          <w:szCs w:val="22"/>
          <w:lang w:eastAsia="it-IT"/>
        </w:rPr>
        <w:t>a questione di diritto nell</w:t>
      </w:r>
      <w:r w:rsidR="00501E32">
        <w:rPr>
          <w:rFonts w:ascii="Times New Roman" w:eastAsia="Times New Roman" w:hAnsi="Times New Roman" w:cs="Times New Roman"/>
          <w:color w:val="4B4B4C"/>
          <w:sz w:val="22"/>
          <w:szCs w:val="22"/>
          <w:lang w:eastAsia="it-IT"/>
        </w:rPr>
        <w:t>’</w:t>
      </w:r>
      <w:r w:rsidRPr="00571309">
        <w:rPr>
          <w:rFonts w:ascii="Times New Roman" w:eastAsia="Times New Roman" w:hAnsi="Times New Roman" w:cs="Times New Roman"/>
          <w:color w:val="4B4B4C"/>
          <w:sz w:val="22"/>
          <w:szCs w:val="22"/>
          <w:lang w:eastAsia="it-IT"/>
        </w:rPr>
        <w:t>interesse della legge</w:t>
      </w:r>
      <w:r w:rsidR="00DE7E57">
        <w:rPr>
          <w:rFonts w:ascii="Times New Roman" w:eastAsia="Times New Roman" w:hAnsi="Times New Roman" w:cs="Times New Roman"/>
          <w:color w:val="4B4B4C"/>
          <w:sz w:val="22"/>
          <w:szCs w:val="22"/>
          <w:lang w:eastAsia="it-IT"/>
        </w:rPr>
        <w:t xml:space="preserve"> (art. 363, comma 3, c.p.c.)</w:t>
      </w:r>
      <w:r>
        <w:rPr>
          <w:rFonts w:ascii="Times New Roman" w:eastAsia="Times New Roman" w:hAnsi="Times New Roman" w:cs="Times New Roman"/>
          <w:color w:val="4B4B4C"/>
          <w:sz w:val="22"/>
          <w:szCs w:val="22"/>
          <w:lang w:eastAsia="it-IT"/>
        </w:rPr>
        <w:t xml:space="preserve">, stante </w:t>
      </w:r>
      <w:r w:rsidRPr="00571309">
        <w:rPr>
          <w:rFonts w:ascii="Times New Roman" w:eastAsia="Times New Roman" w:hAnsi="Times New Roman" w:cs="Times New Roman"/>
          <w:color w:val="4B4B4C"/>
          <w:sz w:val="22"/>
          <w:szCs w:val="22"/>
          <w:lang w:eastAsia="it-IT"/>
        </w:rPr>
        <w:t>il carattere di novità</w:t>
      </w:r>
      <w:r>
        <w:rPr>
          <w:rFonts w:ascii="Times New Roman" w:eastAsia="Times New Roman" w:hAnsi="Times New Roman" w:cs="Times New Roman"/>
          <w:color w:val="4B4B4C"/>
          <w:sz w:val="22"/>
          <w:szCs w:val="22"/>
          <w:lang w:eastAsia="it-IT"/>
        </w:rPr>
        <w:t xml:space="preserve">. In particolare, ha ritenuto necessario dare comunque risposta al quesito di diritto se </w:t>
      </w:r>
      <w:r w:rsidR="00571309" w:rsidRPr="00571309">
        <w:rPr>
          <w:rFonts w:ascii="Times New Roman" w:eastAsia="Times New Roman" w:hAnsi="Times New Roman" w:cs="Times New Roman"/>
          <w:color w:val="4B4B4C"/>
          <w:sz w:val="22"/>
          <w:szCs w:val="22"/>
          <w:lang w:eastAsia="it-IT"/>
        </w:rPr>
        <w:t>il cessionario del credito possa agire nei confronti del cedente, per mancanza delle garanzie promesse, prima ancora di escutere il debitore ceduto</w:t>
      </w:r>
      <w:r>
        <w:rPr>
          <w:rFonts w:ascii="Times New Roman" w:eastAsia="Times New Roman" w:hAnsi="Times New Roman" w:cs="Times New Roman"/>
          <w:color w:val="4B4B4C"/>
          <w:sz w:val="22"/>
          <w:szCs w:val="22"/>
          <w:lang w:eastAsia="it-IT"/>
        </w:rPr>
        <w:t>, rispo</w:t>
      </w:r>
      <w:r w:rsidR="00DE7E57">
        <w:rPr>
          <w:rFonts w:ascii="Times New Roman" w:eastAsia="Times New Roman" w:hAnsi="Times New Roman" w:cs="Times New Roman"/>
          <w:color w:val="4B4B4C"/>
          <w:sz w:val="22"/>
          <w:szCs w:val="22"/>
          <w:lang w:eastAsia="it-IT"/>
        </w:rPr>
        <w:t xml:space="preserve">ndendo </w:t>
      </w:r>
      <w:r>
        <w:rPr>
          <w:rFonts w:ascii="Times New Roman" w:eastAsia="Times New Roman" w:hAnsi="Times New Roman" w:cs="Times New Roman"/>
          <w:color w:val="4B4B4C"/>
          <w:sz w:val="22"/>
          <w:szCs w:val="22"/>
          <w:lang w:eastAsia="it-IT"/>
        </w:rPr>
        <w:t>affermativa</w:t>
      </w:r>
      <w:r w:rsidR="00DE7E57">
        <w:rPr>
          <w:rFonts w:ascii="Times New Roman" w:eastAsia="Times New Roman" w:hAnsi="Times New Roman" w:cs="Times New Roman"/>
          <w:color w:val="4B4B4C"/>
          <w:sz w:val="22"/>
          <w:szCs w:val="22"/>
          <w:lang w:eastAsia="it-IT"/>
        </w:rPr>
        <w:t>mente</w:t>
      </w:r>
      <w:r>
        <w:rPr>
          <w:rFonts w:ascii="Times New Roman" w:eastAsia="Times New Roman" w:hAnsi="Times New Roman" w:cs="Times New Roman"/>
          <w:color w:val="4B4B4C"/>
          <w:sz w:val="22"/>
          <w:szCs w:val="22"/>
          <w:lang w:eastAsia="it-IT"/>
        </w:rPr>
        <w:t>.</w:t>
      </w:r>
    </w:p>
    <w:p w:rsidR="00571309" w:rsidRDefault="00D468DA"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La Corte ha riconosciuto – e questo è il punto che maggiormente ci interessa – che il sol fatto che il credito ceduto sia assistito da garanzie minori di quelle promesse è, in sé, causativo per il cessionario di «</w:t>
      </w:r>
      <w:r w:rsidRPr="000D3B81">
        <w:rPr>
          <w:rFonts w:ascii="Times New Roman" w:eastAsia="Times New Roman" w:hAnsi="Times New Roman" w:cs="Times New Roman"/>
          <w:i/>
          <w:iCs/>
          <w:color w:val="4B4B4C"/>
          <w:sz w:val="22"/>
          <w:szCs w:val="22"/>
          <w:lang w:eastAsia="it-IT"/>
        </w:rPr>
        <w:t>un danno autonomo rispetto a quello derivante dall</w:t>
      </w:r>
      <w:r w:rsidR="00501E32">
        <w:rPr>
          <w:rFonts w:ascii="Times New Roman" w:eastAsia="Times New Roman" w:hAnsi="Times New Roman" w:cs="Times New Roman"/>
          <w:i/>
          <w:iCs/>
          <w:color w:val="4B4B4C"/>
          <w:sz w:val="22"/>
          <w:szCs w:val="22"/>
          <w:lang w:eastAsia="it-IT"/>
        </w:rPr>
        <w:t>’</w:t>
      </w:r>
      <w:r w:rsidRPr="000D3B81">
        <w:rPr>
          <w:rFonts w:ascii="Times New Roman" w:eastAsia="Times New Roman" w:hAnsi="Times New Roman" w:cs="Times New Roman"/>
          <w:i/>
          <w:iCs/>
          <w:color w:val="4B4B4C"/>
          <w:sz w:val="22"/>
          <w:szCs w:val="22"/>
          <w:lang w:eastAsia="it-IT"/>
        </w:rPr>
        <w:t>inadempimento</w:t>
      </w:r>
      <w:r>
        <w:rPr>
          <w:rFonts w:ascii="Times New Roman" w:eastAsia="Times New Roman" w:hAnsi="Times New Roman" w:cs="Times New Roman"/>
          <w:color w:val="4B4B4C"/>
          <w:sz w:val="22"/>
          <w:szCs w:val="22"/>
          <w:lang w:eastAsia="it-IT"/>
        </w:rPr>
        <w:t xml:space="preserve">» del debitore ceduto e indipendentemente dalla circostanza che le minori garanzie siano comunque </w:t>
      </w:r>
      <w:r w:rsidR="00122328">
        <w:rPr>
          <w:rFonts w:ascii="Times New Roman" w:eastAsia="Times New Roman" w:hAnsi="Times New Roman" w:cs="Times New Roman"/>
          <w:color w:val="4B4B4C"/>
          <w:sz w:val="22"/>
          <w:szCs w:val="22"/>
          <w:lang w:eastAsia="it-IT"/>
        </w:rPr>
        <w:t>astrattamente capienti</w:t>
      </w:r>
      <w:r w:rsidR="00A3113C">
        <w:rPr>
          <w:rStyle w:val="Rimandonotaapidipagina"/>
          <w:rFonts w:ascii="Times New Roman" w:eastAsia="Times New Roman" w:hAnsi="Times New Roman" w:cs="Times New Roman"/>
          <w:color w:val="4B4B4C"/>
          <w:sz w:val="22"/>
          <w:szCs w:val="22"/>
          <w:lang w:eastAsia="it-IT"/>
        </w:rPr>
        <w:footnoteReference w:id="39"/>
      </w:r>
      <w:r w:rsidR="00122328">
        <w:rPr>
          <w:rFonts w:ascii="Times New Roman" w:eastAsia="Times New Roman" w:hAnsi="Times New Roman" w:cs="Times New Roman"/>
          <w:color w:val="4B4B4C"/>
          <w:sz w:val="22"/>
          <w:szCs w:val="22"/>
          <w:lang w:eastAsia="it-IT"/>
        </w:rPr>
        <w:t xml:space="preserve">. </w:t>
      </w:r>
      <w:r w:rsidR="00DE7E57">
        <w:rPr>
          <w:rFonts w:ascii="Times New Roman" w:eastAsia="Times New Roman" w:hAnsi="Times New Roman" w:cs="Times New Roman"/>
          <w:color w:val="4B4B4C"/>
          <w:sz w:val="22"/>
          <w:szCs w:val="22"/>
          <w:lang w:eastAsia="it-IT"/>
        </w:rPr>
        <w:t>A</w:t>
      </w:r>
      <w:r w:rsidR="00122328">
        <w:rPr>
          <w:rFonts w:ascii="Times New Roman" w:eastAsia="Times New Roman" w:hAnsi="Times New Roman" w:cs="Times New Roman"/>
          <w:color w:val="4B4B4C"/>
          <w:sz w:val="22"/>
          <w:szCs w:val="22"/>
          <w:lang w:eastAsia="it-IT"/>
        </w:rPr>
        <w:t xml:space="preserve">l credito </w:t>
      </w:r>
      <w:r w:rsidR="00DE7E57">
        <w:rPr>
          <w:rFonts w:ascii="Times New Roman" w:eastAsia="Times New Roman" w:hAnsi="Times New Roman" w:cs="Times New Roman"/>
          <w:color w:val="4B4B4C"/>
          <w:sz w:val="22"/>
          <w:szCs w:val="22"/>
          <w:lang w:eastAsia="it-IT"/>
        </w:rPr>
        <w:t>viene</w:t>
      </w:r>
      <w:r w:rsidR="00122328">
        <w:rPr>
          <w:rFonts w:ascii="Times New Roman" w:eastAsia="Times New Roman" w:hAnsi="Times New Roman" w:cs="Times New Roman"/>
          <w:color w:val="4B4B4C"/>
          <w:sz w:val="22"/>
          <w:szCs w:val="22"/>
          <w:lang w:eastAsia="it-IT"/>
        </w:rPr>
        <w:t xml:space="preserve"> riconosciuto «</w:t>
      </w:r>
      <w:r w:rsidR="00571309" w:rsidRPr="00122328">
        <w:rPr>
          <w:rFonts w:ascii="Times New Roman" w:eastAsia="Times New Roman" w:hAnsi="Times New Roman" w:cs="Times New Roman"/>
          <w:i/>
          <w:iCs/>
          <w:color w:val="4B4B4C"/>
          <w:sz w:val="22"/>
          <w:szCs w:val="22"/>
          <w:lang w:eastAsia="it-IT"/>
        </w:rPr>
        <w:t>un “valore di circolazione”, in quanto può essere costituito in pegno, cartolarizzato, portato allo sconto, anticipato, ceduto, ecc. Detto “valore di circolazione” dipende non solo dall</w:t>
      </w:r>
      <w:r w:rsidR="00501E32">
        <w:rPr>
          <w:rFonts w:ascii="Times New Roman" w:eastAsia="Times New Roman" w:hAnsi="Times New Roman" w:cs="Times New Roman"/>
          <w:i/>
          <w:iCs/>
          <w:color w:val="4B4B4C"/>
          <w:sz w:val="22"/>
          <w:szCs w:val="22"/>
          <w:lang w:eastAsia="it-IT"/>
        </w:rPr>
        <w:t>’</w:t>
      </w:r>
      <w:r w:rsidR="00571309" w:rsidRPr="00122328">
        <w:rPr>
          <w:rFonts w:ascii="Times New Roman" w:eastAsia="Times New Roman" w:hAnsi="Times New Roman" w:cs="Times New Roman"/>
          <w:i/>
          <w:iCs/>
          <w:color w:val="4B4B4C"/>
          <w:sz w:val="22"/>
          <w:szCs w:val="22"/>
          <w:lang w:eastAsia="it-IT"/>
        </w:rPr>
        <w:t>importo nominale del credito, ma anche dal grado di solvibilità del debitore e dei suoi garanti (o delle sue garanzie reali) e dal tempo in cui sarà riscosso</w:t>
      </w:r>
      <w:r w:rsidR="00122328">
        <w:rPr>
          <w:rFonts w:ascii="Times New Roman" w:eastAsia="Times New Roman" w:hAnsi="Times New Roman" w:cs="Times New Roman"/>
          <w:color w:val="4B4B4C"/>
          <w:sz w:val="22"/>
          <w:szCs w:val="22"/>
          <w:lang w:eastAsia="it-IT"/>
        </w:rPr>
        <w:t>»</w:t>
      </w:r>
      <w:r w:rsidR="00571309" w:rsidRPr="00571309">
        <w:rPr>
          <w:rFonts w:ascii="Times New Roman" w:eastAsia="Times New Roman" w:hAnsi="Times New Roman" w:cs="Times New Roman"/>
          <w:color w:val="4B4B4C"/>
          <w:sz w:val="22"/>
          <w:szCs w:val="22"/>
          <w:lang w:eastAsia="it-IT"/>
        </w:rPr>
        <w:t>.</w:t>
      </w:r>
    </w:p>
    <w:p w:rsidR="00122328" w:rsidRDefault="00122328"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Dunque, la Cassazione ha riconosciuto espressamente la natura “ambivalente” dei crediti deteriorati oggetto di cessione, che sono – ad un tempo – titolo per agire nei confronti del debitore ceduto e bene oggetto di autonoma circolazione secondo le regole del mercato di riferimento. Con la conseguenza che la qualità delle garanzie reali attribuisce un valore economico al credito non solo nella prospettiva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espropriazione forzata dei beni sottostanti, ma anche al momento della sua circolazione, quindi in una visione meramente prospettica.</w:t>
      </w:r>
    </w:p>
    <w:p w:rsidR="00A51068" w:rsidRDefault="00122328"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E qui si coglie che, pure nell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eventualità che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esecuzione forzata dovesse rivelarsi infine integralmente capiente (circostanza, quest</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ultima, che potrà accertarsi solo </w:t>
      </w:r>
      <w:r w:rsidRPr="00122328">
        <w:rPr>
          <w:rFonts w:ascii="Times New Roman" w:eastAsia="Times New Roman" w:hAnsi="Times New Roman" w:cs="Times New Roman"/>
          <w:i/>
          <w:iCs/>
          <w:color w:val="4B4B4C"/>
          <w:sz w:val="22"/>
          <w:szCs w:val="22"/>
          <w:lang w:eastAsia="it-IT"/>
        </w:rPr>
        <w:t>ex post</w:t>
      </w:r>
      <w:r>
        <w:rPr>
          <w:rFonts w:ascii="Times New Roman" w:eastAsia="Times New Roman" w:hAnsi="Times New Roman" w:cs="Times New Roman"/>
          <w:color w:val="4B4B4C"/>
          <w:sz w:val="22"/>
          <w:szCs w:val="22"/>
          <w:lang w:eastAsia="it-IT"/>
        </w:rPr>
        <w:t>, non essendo predeterminabile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esatto numero di aste deserte, di rilanci, di spese prededucibili, ecc., che concorreranno a determinare il ricavato dell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espropriazione), nelle more </w:t>
      </w:r>
      <w:r w:rsidR="00235D51">
        <w:rPr>
          <w:rFonts w:ascii="Times New Roman" w:eastAsia="Times New Roman" w:hAnsi="Times New Roman" w:cs="Times New Roman"/>
          <w:color w:val="4B4B4C"/>
          <w:sz w:val="22"/>
          <w:szCs w:val="22"/>
          <w:lang w:eastAsia="it-IT"/>
        </w:rPr>
        <w:t xml:space="preserve">della riscossione coattiva </w:t>
      </w:r>
      <w:r>
        <w:rPr>
          <w:rFonts w:ascii="Times New Roman" w:eastAsia="Times New Roman" w:hAnsi="Times New Roman" w:cs="Times New Roman"/>
          <w:color w:val="4B4B4C"/>
          <w:sz w:val="22"/>
          <w:szCs w:val="22"/>
          <w:lang w:eastAsia="it-IT"/>
        </w:rPr>
        <w:lastRenderedPageBreak/>
        <w:t xml:space="preserve">un credito circolerà ad un valore </w:t>
      </w:r>
      <w:r w:rsidR="00235D51">
        <w:rPr>
          <w:rFonts w:ascii="Times New Roman" w:eastAsia="Times New Roman" w:hAnsi="Times New Roman" w:cs="Times New Roman"/>
          <w:color w:val="4B4B4C"/>
          <w:sz w:val="22"/>
          <w:szCs w:val="22"/>
          <w:lang w:eastAsia="it-IT"/>
        </w:rPr>
        <w:t xml:space="preserve">tanto maggiore quanto meglio è garantito. </w:t>
      </w:r>
      <w:r w:rsidR="00A51068">
        <w:rPr>
          <w:rFonts w:ascii="Times New Roman" w:eastAsia="Times New Roman" w:hAnsi="Times New Roman" w:cs="Times New Roman"/>
          <w:color w:val="4B4B4C"/>
          <w:sz w:val="22"/>
          <w:szCs w:val="22"/>
          <w:lang w:eastAsia="it-IT"/>
        </w:rPr>
        <w:t>L</w:t>
      </w:r>
      <w:r w:rsidR="00A51068" w:rsidRPr="00A51068">
        <w:rPr>
          <w:rFonts w:ascii="Times New Roman" w:eastAsia="Times New Roman" w:hAnsi="Times New Roman" w:cs="Times New Roman"/>
          <w:color w:val="4B4B4C"/>
          <w:sz w:val="22"/>
          <w:szCs w:val="22"/>
          <w:lang w:eastAsia="it-IT"/>
        </w:rPr>
        <w:t xml:space="preserve">a garanzia, che costituisce un diritto accessorio rispetto al diritto di credito, </w:t>
      </w:r>
      <w:r w:rsidR="00A51068">
        <w:rPr>
          <w:rFonts w:ascii="Times New Roman" w:eastAsia="Times New Roman" w:hAnsi="Times New Roman" w:cs="Times New Roman"/>
          <w:color w:val="4B4B4C"/>
          <w:sz w:val="22"/>
          <w:szCs w:val="22"/>
          <w:lang w:eastAsia="it-IT"/>
        </w:rPr>
        <w:t>concorre in modo decisivo a determinarne il</w:t>
      </w:r>
      <w:r w:rsidR="00A51068" w:rsidRPr="00A51068">
        <w:rPr>
          <w:rFonts w:ascii="Times New Roman" w:eastAsia="Times New Roman" w:hAnsi="Times New Roman" w:cs="Times New Roman"/>
          <w:color w:val="4B4B4C"/>
          <w:sz w:val="22"/>
          <w:szCs w:val="22"/>
          <w:lang w:eastAsia="it-IT"/>
        </w:rPr>
        <w:t xml:space="preserve"> </w:t>
      </w:r>
      <w:r w:rsidR="00A51068">
        <w:rPr>
          <w:rFonts w:ascii="Times New Roman" w:eastAsia="Times New Roman" w:hAnsi="Times New Roman" w:cs="Times New Roman"/>
          <w:color w:val="4B4B4C"/>
          <w:sz w:val="22"/>
          <w:szCs w:val="22"/>
          <w:lang w:eastAsia="it-IT"/>
        </w:rPr>
        <w:t>prezzo di mercato, in quanto i</w:t>
      </w:r>
      <w:r w:rsidR="00A51068" w:rsidRPr="00A51068">
        <w:rPr>
          <w:rFonts w:ascii="Times New Roman" w:eastAsia="Times New Roman" w:hAnsi="Times New Roman" w:cs="Times New Roman"/>
          <w:color w:val="4B4B4C"/>
          <w:sz w:val="22"/>
          <w:szCs w:val="22"/>
          <w:lang w:eastAsia="it-IT"/>
        </w:rPr>
        <w:t>l bene oggetto della garanzia ipotecaria o pignoratizia, o il patrimonio del garante nel caso delle garanzie personali, possono essere determinanti, a seconda del valore che esprimono, per neutralizzare il rischio dell</w:t>
      </w:r>
      <w:r w:rsidR="00501E32">
        <w:rPr>
          <w:rFonts w:ascii="Times New Roman" w:eastAsia="Times New Roman" w:hAnsi="Times New Roman" w:cs="Times New Roman"/>
          <w:color w:val="4B4B4C"/>
          <w:sz w:val="22"/>
          <w:szCs w:val="22"/>
          <w:lang w:eastAsia="it-IT"/>
        </w:rPr>
        <w:t>’</w:t>
      </w:r>
      <w:r w:rsidR="00A51068" w:rsidRPr="00A51068">
        <w:rPr>
          <w:rFonts w:ascii="Times New Roman" w:eastAsia="Times New Roman" w:hAnsi="Times New Roman" w:cs="Times New Roman"/>
          <w:color w:val="4B4B4C"/>
          <w:sz w:val="22"/>
          <w:szCs w:val="22"/>
          <w:lang w:eastAsia="it-IT"/>
        </w:rPr>
        <w:t>incapienza del patrimonio del debitore.</w:t>
      </w:r>
    </w:p>
    <w:p w:rsidR="00A51068" w:rsidRDefault="00235D51"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In concreto,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inesistenza di due delle tre ipoteche poteva pure rivelarsi, in fin dei conti, irrilevante nella prospettiva in cui il cessionario non avrebbe dovuto far altro che esercitare le proprie azioni nei confronti del debitore ceduto; ma causava un immediato deprezzamento del credito oggetto di cessione nella diversa ipotesi in cui il cessionario avesse voluto, a sua volta, cederlo a terzi; eventualità, quest</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ultima, tutt</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altro che remota, stante il considerevole sviluppo del “mercato secondario” degli NPL</w:t>
      </w:r>
      <w:r w:rsidR="00DE7E57">
        <w:rPr>
          <w:rStyle w:val="Rimandonotaapidipagina"/>
          <w:rFonts w:ascii="Times New Roman" w:eastAsia="Times New Roman" w:hAnsi="Times New Roman" w:cs="Times New Roman"/>
          <w:color w:val="4B4B4C"/>
          <w:sz w:val="22"/>
          <w:szCs w:val="22"/>
          <w:lang w:eastAsia="it-IT"/>
        </w:rPr>
        <w:footnoteReference w:id="40"/>
      </w:r>
      <w:r w:rsidR="00DE7E57">
        <w:rPr>
          <w:rFonts w:ascii="Times New Roman" w:eastAsia="Times New Roman" w:hAnsi="Times New Roman" w:cs="Times New Roman"/>
          <w:color w:val="4B4B4C"/>
          <w:sz w:val="22"/>
          <w:szCs w:val="22"/>
          <w:lang w:eastAsia="it-IT"/>
        </w:rPr>
        <w:t>.</w:t>
      </w:r>
    </w:p>
    <w:p w:rsidR="00571309" w:rsidRDefault="00235D51"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La Cassazione prosegue illustrando i criteri di determinazione del danno al valore di circolazione (o, se si preferisce, di mercato) dei crediti deteriorati. «</w:t>
      </w:r>
      <w:r w:rsidR="00571309" w:rsidRPr="00235D51">
        <w:rPr>
          <w:rFonts w:ascii="Times New Roman" w:eastAsia="Times New Roman" w:hAnsi="Times New Roman" w:cs="Times New Roman"/>
          <w:i/>
          <w:iCs/>
          <w:color w:val="4B4B4C"/>
          <w:sz w:val="22"/>
          <w:szCs w:val="22"/>
          <w:lang w:eastAsia="it-IT"/>
        </w:rPr>
        <w:t>In matematica finanziaria il valore di circolazione del credito si ottiene sottraendo dal suo valore nominale la “</w:t>
      </w:r>
      <w:proofErr w:type="spellStart"/>
      <w:r w:rsidR="00571309" w:rsidRPr="00571309">
        <w:rPr>
          <w:rFonts w:ascii="Times New Roman" w:eastAsia="Times New Roman" w:hAnsi="Times New Roman" w:cs="Times New Roman"/>
          <w:color w:val="4B4B4C"/>
          <w:sz w:val="22"/>
          <w:szCs w:val="22"/>
          <w:lang w:eastAsia="it-IT"/>
        </w:rPr>
        <w:t>loss</w:t>
      </w:r>
      <w:proofErr w:type="spellEnd"/>
      <w:r w:rsidR="00571309" w:rsidRPr="00571309">
        <w:rPr>
          <w:rFonts w:ascii="Times New Roman" w:eastAsia="Times New Roman" w:hAnsi="Times New Roman" w:cs="Times New Roman"/>
          <w:color w:val="4B4B4C"/>
          <w:sz w:val="22"/>
          <w:szCs w:val="22"/>
          <w:lang w:eastAsia="it-IT"/>
        </w:rPr>
        <w:t xml:space="preserve"> </w:t>
      </w:r>
      <w:proofErr w:type="spellStart"/>
      <w:r w:rsidR="00571309" w:rsidRPr="00571309">
        <w:rPr>
          <w:rFonts w:ascii="Times New Roman" w:eastAsia="Times New Roman" w:hAnsi="Times New Roman" w:cs="Times New Roman"/>
          <w:color w:val="4B4B4C"/>
          <w:sz w:val="22"/>
          <w:szCs w:val="22"/>
          <w:lang w:eastAsia="it-IT"/>
        </w:rPr>
        <w:t>given</w:t>
      </w:r>
      <w:proofErr w:type="spellEnd"/>
      <w:r w:rsidR="00571309" w:rsidRPr="00571309">
        <w:rPr>
          <w:rFonts w:ascii="Times New Roman" w:eastAsia="Times New Roman" w:hAnsi="Times New Roman" w:cs="Times New Roman"/>
          <w:color w:val="4B4B4C"/>
          <w:sz w:val="22"/>
          <w:szCs w:val="22"/>
          <w:lang w:eastAsia="it-IT"/>
        </w:rPr>
        <w:t xml:space="preserve"> default</w:t>
      </w:r>
      <w:r w:rsidR="00571309" w:rsidRPr="00235D51">
        <w:rPr>
          <w:rFonts w:ascii="Times New Roman" w:eastAsia="Times New Roman" w:hAnsi="Times New Roman" w:cs="Times New Roman"/>
          <w:i/>
          <w:iCs/>
          <w:color w:val="4B4B4C"/>
          <w:sz w:val="22"/>
          <w:szCs w:val="22"/>
          <w:lang w:eastAsia="it-IT"/>
        </w:rPr>
        <w:t>” (LGD), ossia la perdita attesa in caso di inadempienza. La determinazione del rischio di insolvenza dipende, ovviamente, anche dall</w:t>
      </w:r>
      <w:r w:rsidR="00501E32">
        <w:rPr>
          <w:rFonts w:ascii="Times New Roman" w:eastAsia="Times New Roman" w:hAnsi="Times New Roman" w:cs="Times New Roman"/>
          <w:i/>
          <w:iCs/>
          <w:color w:val="4B4B4C"/>
          <w:sz w:val="22"/>
          <w:szCs w:val="22"/>
          <w:lang w:eastAsia="it-IT"/>
        </w:rPr>
        <w:t>’</w:t>
      </w:r>
      <w:r w:rsidR="00571309" w:rsidRPr="00235D51">
        <w:rPr>
          <w:rFonts w:ascii="Times New Roman" w:eastAsia="Times New Roman" w:hAnsi="Times New Roman" w:cs="Times New Roman"/>
          <w:i/>
          <w:iCs/>
          <w:color w:val="4B4B4C"/>
          <w:sz w:val="22"/>
          <w:szCs w:val="22"/>
          <w:lang w:eastAsia="it-IT"/>
        </w:rPr>
        <w:t>entità delle garanzie offerte e, quindi, risulta maggiore per i crediti chirografari e minore per quelli ipotecari. In realtà, con particolare riferimento ai crediti ipotecari, l</w:t>
      </w:r>
      <w:r w:rsidR="00501E32">
        <w:rPr>
          <w:rFonts w:ascii="Times New Roman" w:eastAsia="Times New Roman" w:hAnsi="Times New Roman" w:cs="Times New Roman"/>
          <w:i/>
          <w:iCs/>
          <w:color w:val="4B4B4C"/>
          <w:sz w:val="22"/>
          <w:szCs w:val="22"/>
          <w:lang w:eastAsia="it-IT"/>
        </w:rPr>
        <w:t>’</w:t>
      </w:r>
      <w:r w:rsidR="00571309" w:rsidRPr="00235D51">
        <w:rPr>
          <w:rFonts w:ascii="Times New Roman" w:eastAsia="Times New Roman" w:hAnsi="Times New Roman" w:cs="Times New Roman"/>
          <w:i/>
          <w:iCs/>
          <w:color w:val="4B4B4C"/>
          <w:sz w:val="22"/>
          <w:szCs w:val="22"/>
          <w:lang w:eastAsia="it-IT"/>
        </w:rPr>
        <w:t>entità della LGD dipende dal tempo che occorrerà per liquidare l</w:t>
      </w:r>
      <w:r w:rsidR="00501E32">
        <w:rPr>
          <w:rFonts w:ascii="Times New Roman" w:eastAsia="Times New Roman" w:hAnsi="Times New Roman" w:cs="Times New Roman"/>
          <w:i/>
          <w:iCs/>
          <w:color w:val="4B4B4C"/>
          <w:sz w:val="22"/>
          <w:szCs w:val="22"/>
          <w:lang w:eastAsia="it-IT"/>
        </w:rPr>
        <w:t>’</w:t>
      </w:r>
      <w:r w:rsidR="00571309" w:rsidRPr="00235D51">
        <w:rPr>
          <w:rFonts w:ascii="Times New Roman" w:eastAsia="Times New Roman" w:hAnsi="Times New Roman" w:cs="Times New Roman"/>
          <w:i/>
          <w:iCs/>
          <w:color w:val="4B4B4C"/>
          <w:sz w:val="22"/>
          <w:szCs w:val="22"/>
          <w:lang w:eastAsia="it-IT"/>
        </w:rPr>
        <w:t>immobile costituito in garanzia (</w:t>
      </w:r>
      <w:r w:rsidR="00571309" w:rsidRPr="00571309">
        <w:rPr>
          <w:rFonts w:ascii="Times New Roman" w:eastAsia="Times New Roman" w:hAnsi="Times New Roman" w:cs="Times New Roman"/>
          <w:color w:val="4B4B4C"/>
          <w:sz w:val="22"/>
          <w:szCs w:val="22"/>
          <w:lang w:eastAsia="it-IT"/>
        </w:rPr>
        <w:t>time to liquidate</w:t>
      </w:r>
      <w:r w:rsidR="00571309" w:rsidRPr="00235D51">
        <w:rPr>
          <w:rFonts w:ascii="Times New Roman" w:eastAsia="Times New Roman" w:hAnsi="Times New Roman" w:cs="Times New Roman"/>
          <w:i/>
          <w:iCs/>
          <w:color w:val="4B4B4C"/>
          <w:sz w:val="22"/>
          <w:szCs w:val="22"/>
          <w:lang w:eastAsia="it-IT"/>
        </w:rPr>
        <w:t>, TTL) e dal ricavato della vendita forzata o (</w:t>
      </w:r>
      <w:r w:rsidR="00571309" w:rsidRPr="00571309">
        <w:rPr>
          <w:rFonts w:ascii="Times New Roman" w:eastAsia="Times New Roman" w:hAnsi="Times New Roman" w:cs="Times New Roman"/>
          <w:color w:val="4B4B4C"/>
          <w:sz w:val="22"/>
          <w:szCs w:val="22"/>
          <w:lang w:eastAsia="it-IT"/>
        </w:rPr>
        <w:t>recovery rate</w:t>
      </w:r>
      <w:r w:rsidR="00571309" w:rsidRPr="00235D51">
        <w:rPr>
          <w:rFonts w:ascii="Times New Roman" w:eastAsia="Times New Roman" w:hAnsi="Times New Roman" w:cs="Times New Roman"/>
          <w:i/>
          <w:iCs/>
          <w:color w:val="4B4B4C"/>
          <w:sz w:val="22"/>
          <w:szCs w:val="22"/>
          <w:lang w:eastAsia="it-IT"/>
        </w:rPr>
        <w:t>, RR)</w:t>
      </w:r>
      <w:r>
        <w:rPr>
          <w:rFonts w:ascii="Times New Roman" w:eastAsia="Times New Roman" w:hAnsi="Times New Roman" w:cs="Times New Roman"/>
          <w:color w:val="4B4B4C"/>
          <w:sz w:val="22"/>
          <w:szCs w:val="22"/>
          <w:lang w:eastAsia="it-IT"/>
        </w:rPr>
        <w:t>»</w:t>
      </w:r>
      <w:r w:rsidR="006A6E59">
        <w:rPr>
          <w:rStyle w:val="Rimandonotaapidipagina"/>
          <w:rFonts w:ascii="Times New Roman" w:eastAsia="Times New Roman" w:hAnsi="Times New Roman" w:cs="Times New Roman"/>
          <w:color w:val="4B4B4C"/>
          <w:sz w:val="22"/>
          <w:szCs w:val="22"/>
          <w:lang w:eastAsia="it-IT"/>
        </w:rPr>
        <w:footnoteReference w:id="41"/>
      </w:r>
      <w:r>
        <w:rPr>
          <w:rFonts w:ascii="Times New Roman" w:eastAsia="Times New Roman" w:hAnsi="Times New Roman" w:cs="Times New Roman"/>
          <w:color w:val="4B4B4C"/>
          <w:sz w:val="22"/>
          <w:szCs w:val="22"/>
          <w:lang w:eastAsia="it-IT"/>
        </w:rPr>
        <w:t xml:space="preserve">. Quindi, </w:t>
      </w:r>
      <w:r w:rsidR="00235596">
        <w:rPr>
          <w:rFonts w:ascii="Times New Roman" w:eastAsia="Times New Roman" w:hAnsi="Times New Roman" w:cs="Times New Roman"/>
          <w:color w:val="4B4B4C"/>
          <w:sz w:val="22"/>
          <w:szCs w:val="22"/>
          <w:lang w:eastAsia="it-IT"/>
        </w:rPr>
        <w:t xml:space="preserve">la parziale mancanza </w:t>
      </w:r>
      <w:r w:rsidR="00235596" w:rsidRPr="00571309">
        <w:rPr>
          <w:rFonts w:ascii="Times New Roman" w:eastAsia="Times New Roman" w:hAnsi="Times New Roman" w:cs="Times New Roman"/>
          <w:color w:val="4B4B4C"/>
          <w:sz w:val="22"/>
          <w:szCs w:val="22"/>
          <w:lang w:eastAsia="it-IT"/>
        </w:rPr>
        <w:t>delle garanzie promesse</w:t>
      </w:r>
      <w:r w:rsidR="00235596">
        <w:rPr>
          <w:rFonts w:ascii="Times New Roman" w:eastAsia="Times New Roman" w:hAnsi="Times New Roman" w:cs="Times New Roman"/>
          <w:color w:val="4B4B4C"/>
          <w:sz w:val="22"/>
          <w:szCs w:val="22"/>
          <w:lang w:eastAsia="it-IT"/>
        </w:rPr>
        <w:t xml:space="preserve"> </w:t>
      </w:r>
      <w:r w:rsidR="00235596" w:rsidRPr="00571309">
        <w:rPr>
          <w:rFonts w:ascii="Times New Roman" w:eastAsia="Times New Roman" w:hAnsi="Times New Roman" w:cs="Times New Roman"/>
          <w:color w:val="4B4B4C"/>
          <w:sz w:val="22"/>
          <w:szCs w:val="22"/>
          <w:lang w:eastAsia="it-IT"/>
        </w:rPr>
        <w:t>è, di per sé, immediatamente causativa di un danno attuale al valore di circolazione del credito, senza bisogno di attendere l</w:t>
      </w:r>
      <w:r w:rsidR="00501E32">
        <w:rPr>
          <w:rFonts w:ascii="Times New Roman" w:eastAsia="Times New Roman" w:hAnsi="Times New Roman" w:cs="Times New Roman"/>
          <w:color w:val="4B4B4C"/>
          <w:sz w:val="22"/>
          <w:szCs w:val="22"/>
          <w:lang w:eastAsia="it-IT"/>
        </w:rPr>
        <w:t>’</w:t>
      </w:r>
      <w:r w:rsidR="00235596" w:rsidRPr="00571309">
        <w:rPr>
          <w:rFonts w:ascii="Times New Roman" w:eastAsia="Times New Roman" w:hAnsi="Times New Roman" w:cs="Times New Roman"/>
          <w:color w:val="4B4B4C"/>
          <w:sz w:val="22"/>
          <w:szCs w:val="22"/>
          <w:lang w:eastAsia="it-IT"/>
        </w:rPr>
        <w:t>esito della escussione del debitore ceduto</w:t>
      </w:r>
      <w:r w:rsidR="00235596">
        <w:rPr>
          <w:rFonts w:ascii="Times New Roman" w:eastAsia="Times New Roman" w:hAnsi="Times New Roman" w:cs="Times New Roman"/>
          <w:color w:val="4B4B4C"/>
          <w:sz w:val="22"/>
          <w:szCs w:val="22"/>
          <w:lang w:eastAsia="it-IT"/>
        </w:rPr>
        <w:t>. Si tratta della lesione del «</w:t>
      </w:r>
      <w:r w:rsidR="00571309" w:rsidRPr="00235596">
        <w:rPr>
          <w:rFonts w:ascii="Times New Roman" w:eastAsia="Times New Roman" w:hAnsi="Times New Roman" w:cs="Times New Roman"/>
          <w:i/>
          <w:iCs/>
          <w:color w:val="4B4B4C"/>
          <w:sz w:val="22"/>
          <w:szCs w:val="22"/>
          <w:lang w:eastAsia="it-IT"/>
        </w:rPr>
        <w:t>valore di circolazione del credito</w:t>
      </w:r>
      <w:r w:rsidR="00235596">
        <w:rPr>
          <w:rFonts w:ascii="Times New Roman" w:eastAsia="Times New Roman" w:hAnsi="Times New Roman" w:cs="Times New Roman"/>
          <w:color w:val="4B4B4C"/>
          <w:sz w:val="22"/>
          <w:szCs w:val="22"/>
          <w:lang w:eastAsia="it-IT"/>
        </w:rPr>
        <w:t>», che «</w:t>
      </w:r>
      <w:r w:rsidR="00571309" w:rsidRPr="00235596">
        <w:rPr>
          <w:rFonts w:ascii="Times New Roman" w:eastAsia="Times New Roman" w:hAnsi="Times New Roman" w:cs="Times New Roman"/>
          <w:i/>
          <w:iCs/>
          <w:color w:val="4B4B4C"/>
          <w:sz w:val="22"/>
          <w:szCs w:val="22"/>
          <w:lang w:eastAsia="it-IT"/>
        </w:rPr>
        <w:t>è un valore prospettico, predittivo, che esprime l</w:t>
      </w:r>
      <w:r w:rsidR="00501E32">
        <w:rPr>
          <w:rFonts w:ascii="Times New Roman" w:eastAsia="Times New Roman" w:hAnsi="Times New Roman" w:cs="Times New Roman"/>
          <w:i/>
          <w:iCs/>
          <w:color w:val="4B4B4C"/>
          <w:sz w:val="22"/>
          <w:szCs w:val="22"/>
          <w:lang w:eastAsia="it-IT"/>
        </w:rPr>
        <w:t>’</w:t>
      </w:r>
      <w:r w:rsidR="00571309" w:rsidRPr="00235596">
        <w:rPr>
          <w:rFonts w:ascii="Times New Roman" w:eastAsia="Times New Roman" w:hAnsi="Times New Roman" w:cs="Times New Roman"/>
          <w:i/>
          <w:iCs/>
          <w:color w:val="4B4B4C"/>
          <w:sz w:val="22"/>
          <w:szCs w:val="22"/>
          <w:lang w:eastAsia="it-IT"/>
        </w:rPr>
        <w:t xml:space="preserve">utilità che il creditore può trarre dalle vicende circolatorie del suo diritto e prescinde dalla misura e dal </w:t>
      </w:r>
      <w:r w:rsidR="00571309" w:rsidRPr="00235596">
        <w:rPr>
          <w:rFonts w:ascii="Times New Roman" w:eastAsia="Times New Roman" w:hAnsi="Times New Roman" w:cs="Times New Roman"/>
          <w:i/>
          <w:iCs/>
          <w:color w:val="4B4B4C"/>
          <w:sz w:val="22"/>
          <w:szCs w:val="22"/>
          <w:lang w:eastAsia="it-IT"/>
        </w:rPr>
        <w:lastRenderedPageBreak/>
        <w:t>momento dell</w:t>
      </w:r>
      <w:r w:rsidR="00501E32">
        <w:rPr>
          <w:rFonts w:ascii="Times New Roman" w:eastAsia="Times New Roman" w:hAnsi="Times New Roman" w:cs="Times New Roman"/>
          <w:i/>
          <w:iCs/>
          <w:color w:val="4B4B4C"/>
          <w:sz w:val="22"/>
          <w:szCs w:val="22"/>
          <w:lang w:eastAsia="it-IT"/>
        </w:rPr>
        <w:t>’</w:t>
      </w:r>
      <w:r w:rsidR="00571309" w:rsidRPr="00235596">
        <w:rPr>
          <w:rFonts w:ascii="Times New Roman" w:eastAsia="Times New Roman" w:hAnsi="Times New Roman" w:cs="Times New Roman"/>
          <w:i/>
          <w:iCs/>
          <w:color w:val="4B4B4C"/>
          <w:sz w:val="22"/>
          <w:szCs w:val="22"/>
          <w:lang w:eastAsia="it-IT"/>
        </w:rPr>
        <w:t>effettiva riscossione, in quanto viene in rilievo in un tempo necessariamente antecedente a quello in cui il credito viene incassato</w:t>
      </w:r>
      <w:r w:rsidR="00235596">
        <w:rPr>
          <w:rFonts w:ascii="Times New Roman" w:eastAsia="Times New Roman" w:hAnsi="Times New Roman" w:cs="Times New Roman"/>
          <w:color w:val="4B4B4C"/>
          <w:sz w:val="22"/>
          <w:szCs w:val="22"/>
          <w:lang w:eastAsia="it-IT"/>
        </w:rPr>
        <w:t>»</w:t>
      </w:r>
      <w:r w:rsidR="00571309" w:rsidRPr="00571309">
        <w:rPr>
          <w:rFonts w:ascii="Times New Roman" w:eastAsia="Times New Roman" w:hAnsi="Times New Roman" w:cs="Times New Roman"/>
          <w:color w:val="4B4B4C"/>
          <w:sz w:val="22"/>
          <w:szCs w:val="22"/>
          <w:lang w:eastAsia="it-IT"/>
        </w:rPr>
        <w:t>.</w:t>
      </w:r>
    </w:p>
    <w:p w:rsidR="00235596" w:rsidRPr="00571309" w:rsidRDefault="00235596" w:rsidP="00B106E0">
      <w:pPr>
        <w:spacing w:line="360" w:lineRule="auto"/>
        <w:jc w:val="both"/>
        <w:rPr>
          <w:rFonts w:ascii="Times New Roman" w:eastAsia="Times New Roman" w:hAnsi="Times New Roman" w:cs="Times New Roman"/>
          <w:color w:val="4B4B4C"/>
          <w:sz w:val="22"/>
          <w:szCs w:val="22"/>
          <w:lang w:eastAsia="it-IT"/>
        </w:rPr>
      </w:pPr>
    </w:p>
    <w:p w:rsidR="00235D51" w:rsidRDefault="00235D51" w:rsidP="00B106E0">
      <w:pPr>
        <w:spacing w:line="360" w:lineRule="auto"/>
        <w:jc w:val="both"/>
        <w:rPr>
          <w:rFonts w:ascii="Times New Roman" w:eastAsia="Times New Roman" w:hAnsi="Times New Roman" w:cs="Times New Roman"/>
          <w:color w:val="4B4B4C"/>
          <w:sz w:val="22"/>
          <w:szCs w:val="22"/>
          <w:lang w:eastAsia="it-IT"/>
        </w:rPr>
      </w:pPr>
    </w:p>
    <w:p w:rsidR="00DE7E57" w:rsidRPr="00AB6935" w:rsidRDefault="00DE7E57" w:rsidP="00B106E0">
      <w:pPr>
        <w:keepNext/>
        <w:widowControl w:val="0"/>
        <w:spacing w:after="240" w:line="360" w:lineRule="auto"/>
        <w:jc w:val="both"/>
        <w:rPr>
          <w:rFonts w:ascii="Times New Roman" w:hAnsi="Times New Roman" w:cs="Times New Roman"/>
          <w:i/>
          <w:iCs/>
          <w:sz w:val="22"/>
          <w:szCs w:val="22"/>
        </w:rPr>
      </w:pPr>
      <w:r>
        <w:rPr>
          <w:rFonts w:ascii="Times New Roman" w:hAnsi="Times New Roman" w:cs="Times New Roman"/>
          <w:i/>
          <w:iCs/>
          <w:sz w:val="22"/>
          <w:szCs w:val="22"/>
        </w:rPr>
        <w:t>6</w:t>
      </w:r>
      <w:r w:rsidRPr="00AB6935">
        <w:rPr>
          <w:rFonts w:ascii="Times New Roman" w:hAnsi="Times New Roman" w:cs="Times New Roman"/>
          <w:i/>
          <w:iCs/>
          <w:sz w:val="22"/>
          <w:szCs w:val="22"/>
        </w:rPr>
        <w:t xml:space="preserve">. </w:t>
      </w:r>
      <w:r>
        <w:rPr>
          <w:rFonts w:ascii="Times New Roman" w:hAnsi="Times New Roman" w:cs="Times New Roman"/>
          <w:i/>
          <w:iCs/>
          <w:sz w:val="22"/>
          <w:szCs w:val="22"/>
        </w:rPr>
        <w:t>Conclusioni</w:t>
      </w:r>
    </w:p>
    <w:p w:rsidR="00235D51" w:rsidRDefault="00DE7E57"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Al termine di queste riflessioni può risultare utile fissare alcuni punti di arrivo.</w:t>
      </w:r>
    </w:p>
    <w:p w:rsidR="00DE7E57" w:rsidRDefault="00416070"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Costituisce una constatazione alquanto ovvia tanto sul piano empirico e quanto nella dinamica degli scambi economici che i crediti deteriorati generati dal sistema bancario hanno un proprio mercato in cui vengono negoziati</w:t>
      </w:r>
      <w:r w:rsidR="002E3F3A">
        <w:rPr>
          <w:rFonts w:ascii="Times New Roman" w:eastAsia="Times New Roman" w:hAnsi="Times New Roman" w:cs="Times New Roman"/>
          <w:color w:val="4B4B4C"/>
          <w:sz w:val="22"/>
          <w:szCs w:val="22"/>
          <w:lang w:eastAsia="it-IT"/>
        </w:rPr>
        <w:t>. E non si tratta solamente della dismissione di portafogli effettuate dalle banche (</w:t>
      </w:r>
      <w:r w:rsidR="002E3F3A" w:rsidRPr="002E3F3A">
        <w:rPr>
          <w:rFonts w:ascii="Times New Roman" w:eastAsia="Times New Roman" w:hAnsi="Times New Roman" w:cs="Times New Roman"/>
          <w:i/>
          <w:iCs/>
          <w:color w:val="4B4B4C"/>
          <w:sz w:val="22"/>
          <w:szCs w:val="22"/>
          <w:lang w:eastAsia="it-IT"/>
        </w:rPr>
        <w:t>originator</w:t>
      </w:r>
      <w:r w:rsidR="002E3F3A">
        <w:rPr>
          <w:rFonts w:ascii="Times New Roman" w:eastAsia="Times New Roman" w:hAnsi="Times New Roman" w:cs="Times New Roman"/>
          <w:color w:val="4B4B4C"/>
          <w:sz w:val="22"/>
          <w:szCs w:val="22"/>
          <w:lang w:eastAsia="it-IT"/>
        </w:rPr>
        <w:t xml:space="preserve">) per perseguire le politiche di </w:t>
      </w:r>
      <w:r w:rsidR="002E3F3A" w:rsidRPr="002E3F3A">
        <w:rPr>
          <w:rFonts w:ascii="Times New Roman" w:eastAsia="Times New Roman" w:hAnsi="Times New Roman" w:cs="Times New Roman"/>
          <w:i/>
          <w:iCs/>
          <w:color w:val="4B4B4C"/>
          <w:sz w:val="22"/>
          <w:szCs w:val="22"/>
          <w:lang w:eastAsia="it-IT"/>
        </w:rPr>
        <w:t>de-</w:t>
      </w:r>
      <w:proofErr w:type="spellStart"/>
      <w:r w:rsidR="002E3F3A" w:rsidRPr="002E3F3A">
        <w:rPr>
          <w:rFonts w:ascii="Times New Roman" w:eastAsia="Times New Roman" w:hAnsi="Times New Roman" w:cs="Times New Roman"/>
          <w:i/>
          <w:iCs/>
          <w:color w:val="4B4B4C"/>
          <w:sz w:val="22"/>
          <w:szCs w:val="22"/>
          <w:lang w:eastAsia="it-IT"/>
        </w:rPr>
        <w:t>risking</w:t>
      </w:r>
      <w:proofErr w:type="spellEnd"/>
      <w:r w:rsidR="002E3F3A">
        <w:rPr>
          <w:rFonts w:ascii="Times New Roman" w:eastAsia="Times New Roman" w:hAnsi="Times New Roman" w:cs="Times New Roman"/>
          <w:color w:val="4B4B4C"/>
          <w:sz w:val="22"/>
          <w:szCs w:val="22"/>
          <w:lang w:eastAsia="it-IT"/>
        </w:rPr>
        <w:t xml:space="preserve"> dei propri bilanci: i crediti deteriorati circolano in modo sostenuto anche nel mercato secondario, fra operatori finanziari che nei portafogli in commercio vedono opportunità di investimento.</w:t>
      </w:r>
    </w:p>
    <w:p w:rsidR="002E3F3A" w:rsidRDefault="005F138E"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Questo mercato non </w:t>
      </w:r>
      <w:r w:rsidR="007C18AC">
        <w:rPr>
          <w:rFonts w:ascii="Times New Roman" w:eastAsia="Times New Roman" w:hAnsi="Times New Roman" w:cs="Times New Roman"/>
          <w:color w:val="4B4B4C"/>
          <w:sz w:val="22"/>
          <w:szCs w:val="22"/>
          <w:lang w:eastAsia="it-IT"/>
        </w:rPr>
        <w:t>rappresenta</w:t>
      </w:r>
      <w:r>
        <w:rPr>
          <w:rFonts w:ascii="Times New Roman" w:eastAsia="Times New Roman" w:hAnsi="Times New Roman" w:cs="Times New Roman"/>
          <w:color w:val="4B4B4C"/>
          <w:sz w:val="22"/>
          <w:szCs w:val="22"/>
          <w:lang w:eastAsia="it-IT"/>
        </w:rPr>
        <w:t xml:space="preserve"> un mero fenomeno economico, ma assume rilievo anche </w:t>
      </w:r>
      <w:r w:rsidRPr="005F138E">
        <w:rPr>
          <w:rFonts w:ascii="Times New Roman" w:eastAsia="Times New Roman" w:hAnsi="Times New Roman" w:cs="Times New Roman"/>
          <w:i/>
          <w:iCs/>
          <w:color w:val="4B4B4C"/>
          <w:sz w:val="22"/>
          <w:szCs w:val="22"/>
          <w:lang w:eastAsia="it-IT"/>
        </w:rPr>
        <w:t>sub specie iuris</w:t>
      </w:r>
      <w:r>
        <w:rPr>
          <w:rFonts w:ascii="Times New Roman" w:eastAsia="Times New Roman" w:hAnsi="Times New Roman" w:cs="Times New Roman"/>
          <w:color w:val="4B4B4C"/>
          <w:sz w:val="22"/>
          <w:szCs w:val="22"/>
          <w:lang w:eastAsia="it-IT"/>
        </w:rPr>
        <w:t>, in quanto esiste uno corpo normativo che regola e disciplina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azione degli operatori, i loro requisiti soggettivi, alcune modalità operative e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 xml:space="preserve">attività di vigilanza. Soprattutto, il mercato dei crediti deteriorati si identifica per una sua peculiare razionalità economica: i beni che circolano in questo mercato – cioè i crediti </w:t>
      </w:r>
      <w:r w:rsidRPr="005F138E">
        <w:rPr>
          <w:rFonts w:ascii="Times New Roman" w:eastAsia="Times New Roman" w:hAnsi="Times New Roman" w:cs="Times New Roman"/>
          <w:i/>
          <w:iCs/>
          <w:color w:val="4B4B4C"/>
          <w:sz w:val="22"/>
          <w:szCs w:val="22"/>
          <w:lang w:eastAsia="it-IT"/>
        </w:rPr>
        <w:t xml:space="preserve">non </w:t>
      </w:r>
      <w:proofErr w:type="spellStart"/>
      <w:r w:rsidRPr="005F138E">
        <w:rPr>
          <w:rFonts w:ascii="Times New Roman" w:eastAsia="Times New Roman" w:hAnsi="Times New Roman" w:cs="Times New Roman"/>
          <w:i/>
          <w:iCs/>
          <w:color w:val="4B4B4C"/>
          <w:sz w:val="22"/>
          <w:szCs w:val="22"/>
          <w:lang w:eastAsia="it-IT"/>
        </w:rPr>
        <w:t>performing</w:t>
      </w:r>
      <w:proofErr w:type="spellEnd"/>
      <w:r>
        <w:rPr>
          <w:rFonts w:ascii="Times New Roman" w:eastAsia="Times New Roman" w:hAnsi="Times New Roman" w:cs="Times New Roman"/>
          <w:color w:val="4B4B4C"/>
          <w:sz w:val="22"/>
          <w:szCs w:val="22"/>
          <w:lang w:eastAsia="it-IT"/>
        </w:rPr>
        <w:t xml:space="preserve"> – non soddisfano alcun bisogno primario degli acquirenti, anzi in teoria sono la produzione “di scarto” del sistema bancario, che inevitabilmente dovrà mettere in conto una certa percentuale di mutuatari inadempienti; tuttavia, nella dinamica fra prezzo di acquisto, p</w:t>
      </w:r>
      <w:r w:rsidR="004F15A4">
        <w:rPr>
          <w:rFonts w:ascii="Times New Roman" w:eastAsia="Times New Roman" w:hAnsi="Times New Roman" w:cs="Times New Roman"/>
          <w:color w:val="4B4B4C"/>
          <w:sz w:val="22"/>
          <w:szCs w:val="22"/>
          <w:lang w:eastAsia="it-IT"/>
        </w:rPr>
        <w:t xml:space="preserve">robabilità </w:t>
      </w:r>
      <w:r>
        <w:rPr>
          <w:rFonts w:ascii="Times New Roman" w:eastAsia="Times New Roman" w:hAnsi="Times New Roman" w:cs="Times New Roman"/>
          <w:color w:val="4B4B4C"/>
          <w:sz w:val="22"/>
          <w:szCs w:val="22"/>
          <w:lang w:eastAsia="it-IT"/>
        </w:rPr>
        <w:t>di realizzo e tempo necessario alla liquidazione del</w:t>
      </w:r>
      <w:r w:rsidR="004F15A4">
        <w:rPr>
          <w:rFonts w:ascii="Times New Roman" w:eastAsia="Times New Roman" w:hAnsi="Times New Roman" w:cs="Times New Roman"/>
          <w:color w:val="4B4B4C"/>
          <w:sz w:val="22"/>
          <w:szCs w:val="22"/>
          <w:lang w:eastAsia="it-IT"/>
        </w:rPr>
        <w:t xml:space="preserve"> patrimonio del </w:t>
      </w:r>
      <w:r>
        <w:rPr>
          <w:rFonts w:ascii="Times New Roman" w:eastAsia="Times New Roman" w:hAnsi="Times New Roman" w:cs="Times New Roman"/>
          <w:color w:val="4B4B4C"/>
          <w:sz w:val="22"/>
          <w:szCs w:val="22"/>
          <w:lang w:eastAsia="it-IT"/>
        </w:rPr>
        <w:t>debitore ceduto rappresentano 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occasione di un investimento finanziario redditizio.</w:t>
      </w:r>
    </w:p>
    <w:p w:rsidR="004F15A4" w:rsidRDefault="004F15A4"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Una particolare utilità economica offerta dai crediti circolanti nel mercato in esame è quella di costituire oggetto di plurime cessioni (c.d. mercato secondario). In pratica, lo scopo economico perseguito dagli operatori del settore non è quello di rendersi cessionari di crediti inadempiuti, ma </w:t>
      </w:r>
      <w:r w:rsidR="007C18AC">
        <w:rPr>
          <w:rFonts w:ascii="Times New Roman" w:eastAsia="Times New Roman" w:hAnsi="Times New Roman" w:cs="Times New Roman"/>
          <w:color w:val="4B4B4C"/>
          <w:sz w:val="22"/>
          <w:szCs w:val="22"/>
          <w:lang w:eastAsia="it-IT"/>
        </w:rPr>
        <w:t>di utilizzare</w:t>
      </w:r>
      <w:r>
        <w:rPr>
          <w:rFonts w:ascii="Times New Roman" w:eastAsia="Times New Roman" w:hAnsi="Times New Roman" w:cs="Times New Roman"/>
          <w:color w:val="4B4B4C"/>
          <w:sz w:val="22"/>
          <w:szCs w:val="22"/>
          <w:lang w:eastAsia="it-IT"/>
        </w:rPr>
        <w:t xml:space="preserve"> di tali crediti come “titoli” circolanti, muniti di un intrinseco valore di scambio.</w:t>
      </w:r>
    </w:p>
    <w:p w:rsidR="007C18AC" w:rsidRDefault="00FA39B3"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L</w:t>
      </w:r>
      <w:r w:rsidR="007C18AC">
        <w:rPr>
          <w:rFonts w:ascii="Times New Roman" w:eastAsia="Times New Roman" w:hAnsi="Times New Roman" w:cs="Times New Roman"/>
          <w:color w:val="4B4B4C"/>
          <w:sz w:val="22"/>
          <w:szCs w:val="22"/>
          <w:lang w:eastAsia="it-IT"/>
        </w:rPr>
        <w:t xml:space="preserve">a focalizzazione </w:t>
      </w:r>
      <w:r>
        <w:rPr>
          <w:rFonts w:ascii="Times New Roman" w:eastAsia="Times New Roman" w:hAnsi="Times New Roman" w:cs="Times New Roman"/>
          <w:color w:val="4B4B4C"/>
          <w:sz w:val="22"/>
          <w:szCs w:val="22"/>
          <w:lang w:eastAsia="it-IT"/>
        </w:rPr>
        <w:t xml:space="preserve">dello “scopo concreto” perseguito tipicamente da chi agisce sul mercato dei crediti deteriorati consente di individuare quali sia </w:t>
      </w:r>
      <w:r w:rsidR="007C18AC">
        <w:rPr>
          <w:rFonts w:ascii="Times New Roman" w:eastAsia="Times New Roman" w:hAnsi="Times New Roman" w:cs="Times New Roman"/>
          <w:color w:val="4B4B4C"/>
          <w:sz w:val="22"/>
          <w:szCs w:val="22"/>
          <w:lang w:eastAsia="it-IT"/>
        </w:rPr>
        <w:t>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interess</w:t>
      </w:r>
      <w:r w:rsidR="007C18AC">
        <w:rPr>
          <w:rFonts w:ascii="Times New Roman" w:eastAsia="Times New Roman" w:hAnsi="Times New Roman" w:cs="Times New Roman"/>
          <w:color w:val="4B4B4C"/>
          <w:sz w:val="22"/>
          <w:szCs w:val="22"/>
          <w:lang w:eastAsia="it-IT"/>
        </w:rPr>
        <w:t>e</w:t>
      </w:r>
      <w:r>
        <w:rPr>
          <w:rFonts w:ascii="Times New Roman" w:eastAsia="Times New Roman" w:hAnsi="Times New Roman" w:cs="Times New Roman"/>
          <w:color w:val="4B4B4C"/>
          <w:sz w:val="22"/>
          <w:szCs w:val="22"/>
          <w:lang w:eastAsia="it-IT"/>
        </w:rPr>
        <w:t xml:space="preserve"> peculiar</w:t>
      </w:r>
      <w:r w:rsidR="007C18AC">
        <w:rPr>
          <w:rFonts w:ascii="Times New Roman" w:eastAsia="Times New Roman" w:hAnsi="Times New Roman" w:cs="Times New Roman"/>
          <w:color w:val="4B4B4C"/>
          <w:sz w:val="22"/>
          <w:szCs w:val="22"/>
          <w:lang w:eastAsia="it-IT"/>
        </w:rPr>
        <w:t>e</w:t>
      </w:r>
      <w:r>
        <w:rPr>
          <w:rFonts w:ascii="Times New Roman" w:eastAsia="Times New Roman" w:hAnsi="Times New Roman" w:cs="Times New Roman"/>
          <w:color w:val="4B4B4C"/>
          <w:sz w:val="22"/>
          <w:szCs w:val="22"/>
          <w:lang w:eastAsia="it-IT"/>
        </w:rPr>
        <w:t xml:space="preserve"> che le parti deducono implicitamente nei contratti aventi ad oggetto i crediti deteriorati, ossia </w:t>
      </w:r>
      <w:r w:rsidR="007C18AC">
        <w:rPr>
          <w:rFonts w:ascii="Times New Roman" w:eastAsia="Times New Roman" w:hAnsi="Times New Roman" w:cs="Times New Roman"/>
          <w:color w:val="4B4B4C"/>
          <w:sz w:val="22"/>
          <w:szCs w:val="22"/>
          <w:lang w:eastAsia="it-IT"/>
        </w:rPr>
        <w:t>l</w:t>
      </w:r>
      <w:r w:rsidR="00501E32">
        <w:rPr>
          <w:rFonts w:ascii="Times New Roman" w:eastAsia="Times New Roman" w:hAnsi="Times New Roman" w:cs="Times New Roman"/>
          <w:color w:val="4B4B4C"/>
          <w:sz w:val="22"/>
          <w:szCs w:val="22"/>
          <w:lang w:eastAsia="it-IT"/>
        </w:rPr>
        <w:t>’</w:t>
      </w:r>
      <w:r w:rsidR="007C18AC">
        <w:rPr>
          <w:rFonts w:ascii="Times New Roman" w:eastAsia="Times New Roman" w:hAnsi="Times New Roman" w:cs="Times New Roman"/>
          <w:color w:val="4B4B4C"/>
          <w:sz w:val="22"/>
          <w:szCs w:val="22"/>
          <w:lang w:eastAsia="it-IT"/>
        </w:rPr>
        <w:t xml:space="preserve">interesse </w:t>
      </w:r>
      <w:r>
        <w:rPr>
          <w:rFonts w:ascii="Times New Roman" w:eastAsia="Times New Roman" w:hAnsi="Times New Roman" w:cs="Times New Roman"/>
          <w:color w:val="4B4B4C"/>
          <w:sz w:val="22"/>
          <w:szCs w:val="22"/>
          <w:lang w:eastAsia="it-IT"/>
        </w:rPr>
        <w:t>ad utilizzare gli stessi come strumenti o occasioni di investimento</w:t>
      </w:r>
      <w:r w:rsidR="007C18AC">
        <w:rPr>
          <w:rFonts w:ascii="Times New Roman" w:eastAsia="Times New Roman" w:hAnsi="Times New Roman" w:cs="Times New Roman"/>
          <w:color w:val="4B4B4C"/>
          <w:sz w:val="22"/>
          <w:szCs w:val="22"/>
          <w:lang w:eastAsia="it-IT"/>
        </w:rPr>
        <w:t xml:space="preserve"> (o, comunque, a trarne utilità collaterali)</w:t>
      </w:r>
      <w:r>
        <w:rPr>
          <w:rFonts w:ascii="Times New Roman" w:eastAsia="Times New Roman" w:hAnsi="Times New Roman" w:cs="Times New Roman"/>
          <w:color w:val="4B4B4C"/>
          <w:sz w:val="22"/>
          <w:szCs w:val="22"/>
          <w:lang w:eastAsia="it-IT"/>
        </w:rPr>
        <w:t xml:space="preserve">. </w:t>
      </w:r>
      <w:r w:rsidR="007C18AC">
        <w:rPr>
          <w:rFonts w:ascii="Times New Roman" w:eastAsia="Times New Roman" w:hAnsi="Times New Roman" w:cs="Times New Roman"/>
          <w:color w:val="4B4B4C"/>
          <w:sz w:val="22"/>
          <w:szCs w:val="22"/>
          <w:lang w:eastAsia="it-IT"/>
        </w:rPr>
        <w:t>Di conseguenza, l</w:t>
      </w:r>
      <w:r w:rsidR="00501E32">
        <w:rPr>
          <w:rFonts w:ascii="Times New Roman" w:eastAsia="Times New Roman" w:hAnsi="Times New Roman" w:cs="Times New Roman"/>
          <w:color w:val="4B4B4C"/>
          <w:sz w:val="22"/>
          <w:szCs w:val="22"/>
          <w:lang w:eastAsia="it-IT"/>
        </w:rPr>
        <w:t>’</w:t>
      </w:r>
      <w:r w:rsidR="007C18AC">
        <w:rPr>
          <w:rFonts w:ascii="Times New Roman" w:eastAsia="Times New Roman" w:hAnsi="Times New Roman" w:cs="Times New Roman"/>
          <w:color w:val="4B4B4C"/>
          <w:sz w:val="22"/>
          <w:szCs w:val="22"/>
          <w:lang w:eastAsia="it-IT"/>
        </w:rPr>
        <w:t>ambito della tutela contrattuale – che deve essere esteso all</w:t>
      </w:r>
      <w:r w:rsidR="00501E32">
        <w:rPr>
          <w:rFonts w:ascii="Times New Roman" w:eastAsia="Times New Roman" w:hAnsi="Times New Roman" w:cs="Times New Roman"/>
          <w:color w:val="4B4B4C"/>
          <w:sz w:val="22"/>
          <w:szCs w:val="22"/>
          <w:lang w:eastAsia="it-IT"/>
        </w:rPr>
        <w:t>’</w:t>
      </w:r>
      <w:r w:rsidR="007C18AC">
        <w:rPr>
          <w:rFonts w:ascii="Times New Roman" w:eastAsia="Times New Roman" w:hAnsi="Times New Roman" w:cs="Times New Roman"/>
          <w:color w:val="4B4B4C"/>
          <w:sz w:val="22"/>
          <w:szCs w:val="22"/>
          <w:lang w:eastAsia="it-IT"/>
        </w:rPr>
        <w:t>intero programma economico perseguito dalle parti – finisce con l</w:t>
      </w:r>
      <w:r w:rsidR="00501E32">
        <w:rPr>
          <w:rFonts w:ascii="Times New Roman" w:eastAsia="Times New Roman" w:hAnsi="Times New Roman" w:cs="Times New Roman"/>
          <w:color w:val="4B4B4C"/>
          <w:sz w:val="22"/>
          <w:szCs w:val="22"/>
          <w:lang w:eastAsia="it-IT"/>
        </w:rPr>
        <w:t>’</w:t>
      </w:r>
      <w:r w:rsidR="007C18AC">
        <w:rPr>
          <w:rFonts w:ascii="Times New Roman" w:eastAsia="Times New Roman" w:hAnsi="Times New Roman" w:cs="Times New Roman"/>
          <w:color w:val="4B4B4C"/>
          <w:sz w:val="22"/>
          <w:szCs w:val="22"/>
          <w:lang w:eastAsia="it-IT"/>
        </w:rPr>
        <w:t>abbracciare anche l</w:t>
      </w:r>
      <w:r w:rsidR="00501E32">
        <w:rPr>
          <w:rFonts w:ascii="Times New Roman" w:eastAsia="Times New Roman" w:hAnsi="Times New Roman" w:cs="Times New Roman"/>
          <w:color w:val="4B4B4C"/>
          <w:sz w:val="22"/>
          <w:szCs w:val="22"/>
          <w:lang w:eastAsia="it-IT"/>
        </w:rPr>
        <w:t>’</w:t>
      </w:r>
      <w:r w:rsidR="007C18AC">
        <w:rPr>
          <w:rFonts w:ascii="Times New Roman" w:eastAsia="Times New Roman" w:hAnsi="Times New Roman" w:cs="Times New Roman"/>
          <w:color w:val="4B4B4C"/>
          <w:sz w:val="22"/>
          <w:szCs w:val="22"/>
          <w:lang w:eastAsia="it-IT"/>
        </w:rPr>
        <w:t>esigenza di preservare</w:t>
      </w:r>
      <w:r>
        <w:rPr>
          <w:rFonts w:ascii="Times New Roman" w:eastAsia="Times New Roman" w:hAnsi="Times New Roman" w:cs="Times New Roman"/>
          <w:color w:val="4B4B4C"/>
          <w:sz w:val="22"/>
          <w:szCs w:val="22"/>
          <w:lang w:eastAsia="it-IT"/>
        </w:rPr>
        <w:t xml:space="preserve"> il valore </w:t>
      </w:r>
      <w:r w:rsidR="007C18AC">
        <w:rPr>
          <w:rFonts w:ascii="Times New Roman" w:eastAsia="Times New Roman" w:hAnsi="Times New Roman" w:cs="Times New Roman"/>
          <w:color w:val="4B4B4C"/>
          <w:sz w:val="22"/>
          <w:szCs w:val="22"/>
          <w:lang w:eastAsia="it-IT"/>
        </w:rPr>
        <w:t xml:space="preserve">“di mercato” </w:t>
      </w:r>
      <w:r>
        <w:rPr>
          <w:rFonts w:ascii="Times New Roman" w:eastAsia="Times New Roman" w:hAnsi="Times New Roman" w:cs="Times New Roman"/>
          <w:color w:val="4B4B4C"/>
          <w:sz w:val="22"/>
          <w:szCs w:val="22"/>
          <w:lang w:eastAsia="it-IT"/>
        </w:rPr>
        <w:t>di quei crediti</w:t>
      </w:r>
      <w:r w:rsidR="007C18AC">
        <w:rPr>
          <w:rFonts w:ascii="Times New Roman" w:eastAsia="Times New Roman" w:hAnsi="Times New Roman" w:cs="Times New Roman"/>
          <w:color w:val="4B4B4C"/>
          <w:sz w:val="22"/>
          <w:szCs w:val="22"/>
          <w:lang w:eastAsia="it-IT"/>
        </w:rPr>
        <w:t>, sì che possano continuare a fungere da strumenti finanziari impropri.</w:t>
      </w:r>
    </w:p>
    <w:p w:rsidR="004F15A4" w:rsidRDefault="007C18AC" w:rsidP="00B106E0">
      <w:pPr>
        <w:spacing w:line="360" w:lineRule="auto"/>
        <w:jc w:val="both"/>
        <w:rPr>
          <w:rFonts w:ascii="Times New Roman" w:eastAsia="Times New Roman" w:hAnsi="Times New Roman" w:cs="Times New Roman"/>
          <w:color w:val="4B4B4C"/>
          <w:sz w:val="22"/>
          <w:szCs w:val="22"/>
          <w:lang w:eastAsia="it-IT"/>
        </w:rPr>
      </w:pPr>
      <w:r>
        <w:rPr>
          <w:rFonts w:ascii="Times New Roman" w:eastAsia="Times New Roman" w:hAnsi="Times New Roman" w:cs="Times New Roman"/>
          <w:color w:val="4B4B4C"/>
          <w:sz w:val="22"/>
          <w:szCs w:val="22"/>
          <w:lang w:eastAsia="it-IT"/>
        </w:rPr>
        <w:t xml:space="preserve">Questo valore di mercato o di scambio – </w:t>
      </w:r>
      <w:r w:rsidR="00FA39B3">
        <w:rPr>
          <w:rFonts w:ascii="Times New Roman" w:eastAsia="Times New Roman" w:hAnsi="Times New Roman" w:cs="Times New Roman"/>
          <w:color w:val="4B4B4C"/>
          <w:sz w:val="22"/>
          <w:szCs w:val="22"/>
          <w:lang w:eastAsia="it-IT"/>
        </w:rPr>
        <w:t>che</w:t>
      </w:r>
      <w:r>
        <w:rPr>
          <w:rFonts w:ascii="Times New Roman" w:eastAsia="Times New Roman" w:hAnsi="Times New Roman" w:cs="Times New Roman"/>
          <w:color w:val="4B4B4C"/>
          <w:sz w:val="22"/>
          <w:szCs w:val="22"/>
          <w:lang w:eastAsia="it-IT"/>
        </w:rPr>
        <w:t xml:space="preserve"> </w:t>
      </w:r>
      <w:r w:rsidR="00FA39B3">
        <w:rPr>
          <w:rFonts w:ascii="Times New Roman" w:eastAsia="Times New Roman" w:hAnsi="Times New Roman" w:cs="Times New Roman"/>
          <w:color w:val="4B4B4C"/>
          <w:sz w:val="22"/>
          <w:szCs w:val="22"/>
          <w:lang w:eastAsia="it-IT"/>
        </w:rPr>
        <w:t>dipende non tanto dal</w:t>
      </w:r>
      <w:r>
        <w:rPr>
          <w:rFonts w:ascii="Times New Roman" w:eastAsia="Times New Roman" w:hAnsi="Times New Roman" w:cs="Times New Roman"/>
          <w:color w:val="4B4B4C"/>
          <w:sz w:val="22"/>
          <w:szCs w:val="22"/>
          <w:lang w:eastAsia="it-IT"/>
        </w:rPr>
        <w:t>l</w:t>
      </w:r>
      <w:r w:rsidR="00501E32">
        <w:rPr>
          <w:rFonts w:ascii="Times New Roman" w:eastAsia="Times New Roman" w:hAnsi="Times New Roman" w:cs="Times New Roman"/>
          <w:color w:val="4B4B4C"/>
          <w:sz w:val="22"/>
          <w:szCs w:val="22"/>
          <w:lang w:eastAsia="it-IT"/>
        </w:rPr>
        <w:t>’</w:t>
      </w:r>
      <w:r w:rsidR="00FA39B3">
        <w:rPr>
          <w:rFonts w:ascii="Times New Roman" w:eastAsia="Times New Roman" w:hAnsi="Times New Roman" w:cs="Times New Roman"/>
          <w:color w:val="4B4B4C"/>
          <w:sz w:val="22"/>
          <w:szCs w:val="22"/>
          <w:lang w:eastAsia="it-IT"/>
        </w:rPr>
        <w:t>importo nominale</w:t>
      </w:r>
      <w:r>
        <w:rPr>
          <w:rFonts w:ascii="Times New Roman" w:eastAsia="Times New Roman" w:hAnsi="Times New Roman" w:cs="Times New Roman"/>
          <w:color w:val="4B4B4C"/>
          <w:sz w:val="22"/>
          <w:szCs w:val="22"/>
          <w:lang w:eastAsia="it-IT"/>
        </w:rPr>
        <w:t xml:space="preserve"> del credito</w:t>
      </w:r>
      <w:r w:rsidR="00FA39B3">
        <w:rPr>
          <w:rFonts w:ascii="Times New Roman" w:eastAsia="Times New Roman" w:hAnsi="Times New Roman" w:cs="Times New Roman"/>
          <w:color w:val="4B4B4C"/>
          <w:sz w:val="22"/>
          <w:szCs w:val="22"/>
          <w:lang w:eastAsia="it-IT"/>
        </w:rPr>
        <w:t>, quanto dal grado di probabilità dell</w:t>
      </w:r>
      <w:r w:rsidR="00501E32">
        <w:rPr>
          <w:rFonts w:ascii="Times New Roman" w:eastAsia="Times New Roman" w:hAnsi="Times New Roman" w:cs="Times New Roman"/>
          <w:color w:val="4B4B4C"/>
          <w:sz w:val="22"/>
          <w:szCs w:val="22"/>
          <w:lang w:eastAsia="it-IT"/>
        </w:rPr>
        <w:t>’</w:t>
      </w:r>
      <w:r w:rsidR="00FA39B3">
        <w:rPr>
          <w:rFonts w:ascii="Times New Roman" w:eastAsia="Times New Roman" w:hAnsi="Times New Roman" w:cs="Times New Roman"/>
          <w:color w:val="4B4B4C"/>
          <w:sz w:val="22"/>
          <w:szCs w:val="22"/>
          <w:lang w:eastAsia="it-IT"/>
        </w:rPr>
        <w:t xml:space="preserve">adempimento e dalle qualità dei </w:t>
      </w:r>
      <w:proofErr w:type="spellStart"/>
      <w:r w:rsidR="00FA39B3" w:rsidRPr="00FA39B3">
        <w:rPr>
          <w:rFonts w:ascii="Times New Roman" w:eastAsia="Times New Roman" w:hAnsi="Times New Roman" w:cs="Times New Roman"/>
          <w:i/>
          <w:iCs/>
          <w:color w:val="4B4B4C"/>
          <w:sz w:val="22"/>
          <w:szCs w:val="22"/>
          <w:lang w:eastAsia="it-IT"/>
        </w:rPr>
        <w:t>collateral</w:t>
      </w:r>
      <w:r>
        <w:rPr>
          <w:rFonts w:ascii="Times New Roman" w:eastAsia="Times New Roman" w:hAnsi="Times New Roman" w:cs="Times New Roman"/>
          <w:i/>
          <w:iCs/>
          <w:color w:val="4B4B4C"/>
          <w:sz w:val="22"/>
          <w:szCs w:val="22"/>
          <w:lang w:eastAsia="it-IT"/>
        </w:rPr>
        <w:t>s</w:t>
      </w:r>
      <w:proofErr w:type="spellEnd"/>
      <w:r w:rsidR="00FA39B3">
        <w:rPr>
          <w:rFonts w:ascii="Times New Roman" w:eastAsia="Times New Roman" w:hAnsi="Times New Roman" w:cs="Times New Roman"/>
          <w:color w:val="4B4B4C"/>
          <w:sz w:val="22"/>
          <w:szCs w:val="22"/>
          <w:lang w:eastAsia="it-IT"/>
        </w:rPr>
        <w:t xml:space="preserve"> (cioè delle </w:t>
      </w:r>
      <w:r w:rsidR="00FA39B3">
        <w:rPr>
          <w:rFonts w:ascii="Times New Roman" w:eastAsia="Times New Roman" w:hAnsi="Times New Roman" w:cs="Times New Roman"/>
          <w:color w:val="4B4B4C"/>
          <w:sz w:val="22"/>
          <w:szCs w:val="22"/>
          <w:lang w:eastAsia="it-IT"/>
        </w:rPr>
        <w:lastRenderedPageBreak/>
        <w:t>garanzie)</w:t>
      </w:r>
      <w:r>
        <w:rPr>
          <w:rFonts w:ascii="Times New Roman" w:eastAsia="Times New Roman" w:hAnsi="Times New Roman" w:cs="Times New Roman"/>
          <w:color w:val="4B4B4C"/>
          <w:sz w:val="22"/>
          <w:szCs w:val="22"/>
          <w:lang w:eastAsia="it-IT"/>
        </w:rPr>
        <w:t xml:space="preserve"> e che abbiamo designato come “valore di circolazione del credito” – deve costituire, quindi, oggetto di una specifica tutela giuridica nell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interpretazione e nell</w:t>
      </w:r>
      <w:r w:rsidR="00501E32">
        <w:rPr>
          <w:rFonts w:ascii="Times New Roman" w:eastAsia="Times New Roman" w:hAnsi="Times New Roman" w:cs="Times New Roman"/>
          <w:color w:val="4B4B4C"/>
          <w:sz w:val="22"/>
          <w:szCs w:val="22"/>
          <w:lang w:eastAsia="it-IT"/>
        </w:rPr>
        <w:t>’</w:t>
      </w:r>
      <w:r>
        <w:rPr>
          <w:rFonts w:ascii="Times New Roman" w:eastAsia="Times New Roman" w:hAnsi="Times New Roman" w:cs="Times New Roman"/>
          <w:color w:val="4B4B4C"/>
          <w:sz w:val="22"/>
          <w:szCs w:val="22"/>
          <w:lang w:eastAsia="it-IT"/>
        </w:rPr>
        <w:t>integrazione (anche secondo buona fede) dei contratti conclusi fra gli operatori del mercato degli NPE.</w:t>
      </w:r>
    </w:p>
    <w:p w:rsidR="007C18AC" w:rsidRDefault="007C18AC" w:rsidP="00B106E0">
      <w:pPr>
        <w:spacing w:line="360" w:lineRule="auto"/>
        <w:jc w:val="both"/>
        <w:rPr>
          <w:rFonts w:ascii="Times New Roman" w:eastAsia="Times New Roman" w:hAnsi="Times New Roman" w:cs="Times New Roman"/>
          <w:color w:val="4B4B4C"/>
          <w:sz w:val="22"/>
          <w:szCs w:val="22"/>
          <w:lang w:eastAsia="it-IT"/>
        </w:rPr>
      </w:pPr>
    </w:p>
    <w:p w:rsidR="0022582D" w:rsidRDefault="0022582D" w:rsidP="00B106E0">
      <w:pPr>
        <w:spacing w:line="360" w:lineRule="auto"/>
        <w:jc w:val="both"/>
        <w:rPr>
          <w:rFonts w:ascii="Times New Roman" w:eastAsia="Times New Roman" w:hAnsi="Times New Roman" w:cs="Times New Roman"/>
          <w:color w:val="4B4B4C"/>
          <w:sz w:val="22"/>
          <w:szCs w:val="22"/>
          <w:lang w:eastAsia="it-IT"/>
        </w:rPr>
      </w:pPr>
    </w:p>
    <w:sectPr w:rsidR="0022582D" w:rsidSect="00AB6935">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04B" w:rsidRDefault="00DD004B" w:rsidP="0039009B">
      <w:r>
        <w:separator/>
      </w:r>
    </w:p>
  </w:endnote>
  <w:endnote w:type="continuationSeparator" w:id="0">
    <w:p w:rsidR="00DD004B" w:rsidRDefault="00DD004B" w:rsidP="0039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04B" w:rsidRDefault="00DD004B" w:rsidP="0039009B">
      <w:r>
        <w:separator/>
      </w:r>
    </w:p>
  </w:footnote>
  <w:footnote w:type="continuationSeparator" w:id="0">
    <w:p w:rsidR="00DD004B" w:rsidRDefault="00DD004B" w:rsidP="0039009B">
      <w:r>
        <w:continuationSeparator/>
      </w:r>
    </w:p>
  </w:footnote>
  <w:footnote w:id="1">
    <w:p w:rsidR="00991F20" w:rsidRPr="00991F20" w:rsidRDefault="00991F20" w:rsidP="00991F20">
      <w:pPr>
        <w:pStyle w:val="Testonotaapidipagina"/>
        <w:jc w:val="both"/>
        <w:rPr>
          <w:rFonts w:ascii="Times New Roman" w:hAnsi="Times New Roman" w:cs="Times New Roman"/>
        </w:rPr>
      </w:pPr>
      <w:r w:rsidRPr="00991F20">
        <w:rPr>
          <w:rStyle w:val="Rimandonotaapidipagina"/>
          <w:rFonts w:ascii="Times New Roman" w:hAnsi="Times New Roman" w:cs="Times New Roman"/>
        </w:rPr>
        <w:sym w:font="Symbol" w:char="F02A"/>
      </w:r>
      <w:r w:rsidRPr="00991F20">
        <w:rPr>
          <w:rFonts w:ascii="Times New Roman" w:hAnsi="Times New Roman" w:cs="Times New Roman"/>
        </w:rPr>
        <w:t xml:space="preserve"> </w:t>
      </w:r>
      <w:r>
        <w:rPr>
          <w:rFonts w:ascii="Times New Roman" w:hAnsi="Times New Roman" w:cs="Times New Roman"/>
        </w:rPr>
        <w:t>Questo saggio è destinato al volume collettaneo sugli assetti normativi del sistema dei crediti deteriorati di prossima pubblicazione, curato dall’Autore e dal prof. Vincenzo De Sensi.</w:t>
      </w:r>
    </w:p>
  </w:footnote>
  <w:footnote w:id="2">
    <w:p w:rsidR="001D03F1" w:rsidRPr="00501E32" w:rsidRDefault="001D03F1"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Market Watch NPL Banca Ifis, </w:t>
      </w:r>
      <w:r w:rsidR="00CE6AD0" w:rsidRPr="00501E32">
        <w:rPr>
          <w:rFonts w:ascii="Times New Roman" w:hAnsi="Times New Roman" w:cs="Times New Roman"/>
          <w:i/>
          <w:iCs/>
        </w:rPr>
        <w:t xml:space="preserve">Mercato delle transazioni </w:t>
      </w:r>
      <w:proofErr w:type="spellStart"/>
      <w:r w:rsidR="00CE6AD0" w:rsidRPr="00501E32">
        <w:rPr>
          <w:rFonts w:ascii="Times New Roman" w:hAnsi="Times New Roman" w:cs="Times New Roman"/>
          <w:i/>
          <w:iCs/>
        </w:rPr>
        <w:t>Npl</w:t>
      </w:r>
      <w:proofErr w:type="spellEnd"/>
      <w:r w:rsidR="00CE6AD0" w:rsidRPr="00501E32">
        <w:rPr>
          <w:rFonts w:ascii="Times New Roman" w:hAnsi="Times New Roman" w:cs="Times New Roman"/>
          <w:i/>
          <w:iCs/>
        </w:rPr>
        <w:t xml:space="preserve"> e industria del </w:t>
      </w:r>
      <w:proofErr w:type="spellStart"/>
      <w:r w:rsidR="00CE6AD0" w:rsidRPr="00501E32">
        <w:rPr>
          <w:rFonts w:ascii="Times New Roman" w:hAnsi="Times New Roman" w:cs="Times New Roman"/>
          <w:i/>
          <w:iCs/>
        </w:rPr>
        <w:t>servicing</w:t>
      </w:r>
      <w:proofErr w:type="spellEnd"/>
      <w:r w:rsidR="00CE6AD0" w:rsidRPr="00501E32">
        <w:rPr>
          <w:rFonts w:ascii="Times New Roman" w:hAnsi="Times New Roman" w:cs="Times New Roman"/>
          <w:i/>
          <w:iCs/>
        </w:rPr>
        <w:t xml:space="preserve"> - Consuntivo 2021 e Forecast 2022-2024</w:t>
      </w:r>
      <w:r w:rsidR="00F87173" w:rsidRPr="00501E32">
        <w:rPr>
          <w:rFonts w:ascii="Times New Roman" w:hAnsi="Times New Roman" w:cs="Times New Roman"/>
        </w:rPr>
        <w:t>, https://www.bancaifis.it/market-watch-npl/market-watch-npl-febbraio-2022/</w:t>
      </w:r>
    </w:p>
  </w:footnote>
  <w:footnote w:id="3">
    <w:p w:rsidR="00035818" w:rsidRPr="00501E32" w:rsidRDefault="00035818"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E64494" w:rsidRPr="00501E32">
        <w:rPr>
          <w:rFonts w:ascii="Times New Roman" w:hAnsi="Times New Roman" w:cs="Times New Roman"/>
        </w:rPr>
        <w:t>Market Watch NPL Banca Ifis</w:t>
      </w:r>
      <w:r w:rsidR="00E64494" w:rsidRPr="00501E32">
        <w:rPr>
          <w:rFonts w:ascii="Times New Roman" w:hAnsi="Times New Roman" w:cs="Times New Roman"/>
          <w:i/>
          <w:iCs/>
        </w:rPr>
        <w:t xml:space="preserve">, Mercato delle transazioni </w:t>
      </w:r>
      <w:proofErr w:type="spellStart"/>
      <w:r w:rsidR="00E64494" w:rsidRPr="00501E32">
        <w:rPr>
          <w:rFonts w:ascii="Times New Roman" w:hAnsi="Times New Roman" w:cs="Times New Roman"/>
          <w:i/>
          <w:iCs/>
        </w:rPr>
        <w:t>Npl</w:t>
      </w:r>
      <w:proofErr w:type="spellEnd"/>
      <w:r w:rsidR="00E64494" w:rsidRPr="00501E32">
        <w:rPr>
          <w:rFonts w:ascii="Times New Roman" w:hAnsi="Times New Roman" w:cs="Times New Roman"/>
          <w:i/>
          <w:iCs/>
        </w:rPr>
        <w:t xml:space="preserve"> e industria del </w:t>
      </w:r>
      <w:proofErr w:type="spellStart"/>
      <w:r w:rsidR="00E64494" w:rsidRPr="00501E32">
        <w:rPr>
          <w:rFonts w:ascii="Times New Roman" w:hAnsi="Times New Roman" w:cs="Times New Roman"/>
          <w:i/>
          <w:iCs/>
        </w:rPr>
        <w:t>servicing</w:t>
      </w:r>
      <w:proofErr w:type="spellEnd"/>
      <w:r w:rsidR="00E64494" w:rsidRPr="00501E32">
        <w:rPr>
          <w:rFonts w:ascii="Times New Roman" w:hAnsi="Times New Roman" w:cs="Times New Roman"/>
          <w:i/>
          <w:iCs/>
        </w:rPr>
        <w:t xml:space="preserve"> Previsioni 2022-2024 (settembre 2022)</w:t>
      </w:r>
      <w:r w:rsidR="00E64494" w:rsidRPr="00501E32">
        <w:rPr>
          <w:rFonts w:ascii="Times New Roman" w:hAnsi="Times New Roman" w:cs="Times New Roman"/>
        </w:rPr>
        <w:t>, https://www.bancaifis.it/app/uploads/2022/09/MW_NPL_Set22_ITA_MASTER-20220920.pdf</w:t>
      </w:r>
    </w:p>
  </w:footnote>
  <w:footnote w:id="4">
    <w:p w:rsidR="0039009B" w:rsidRPr="00501E32" w:rsidRDefault="0039009B"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Dati forniti da Centro Studi </w:t>
      </w:r>
      <w:proofErr w:type="spellStart"/>
      <w:r w:rsidRPr="00501E32">
        <w:rPr>
          <w:rFonts w:ascii="Times New Roman" w:hAnsi="Times New Roman" w:cs="Times New Roman"/>
        </w:rPr>
        <w:t>Fleet&amp;Mobility</w:t>
      </w:r>
      <w:proofErr w:type="spellEnd"/>
      <w:r w:rsidRPr="00501E32">
        <w:rPr>
          <w:rFonts w:ascii="Times New Roman" w:hAnsi="Times New Roman" w:cs="Times New Roman"/>
        </w:rPr>
        <w:t xml:space="preserve"> e pubblicati su Sole24motori il 3 gennaio 2018.</w:t>
      </w:r>
    </w:p>
  </w:footnote>
  <w:footnote w:id="5">
    <w:p w:rsidR="0074725F" w:rsidRPr="00501E32" w:rsidRDefault="0074725F"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Market Watch NPL Banca Ifis, </w:t>
      </w:r>
      <w:r w:rsidRPr="00501E32">
        <w:rPr>
          <w:rFonts w:ascii="Times New Roman" w:hAnsi="Times New Roman" w:cs="Times New Roman"/>
          <w:i/>
          <w:iCs/>
        </w:rPr>
        <w:t xml:space="preserve">Mercato delle transazioni </w:t>
      </w:r>
      <w:proofErr w:type="spellStart"/>
      <w:r w:rsidRPr="00501E32">
        <w:rPr>
          <w:rFonts w:ascii="Times New Roman" w:hAnsi="Times New Roman" w:cs="Times New Roman"/>
          <w:i/>
          <w:iCs/>
        </w:rPr>
        <w:t>Npl</w:t>
      </w:r>
      <w:proofErr w:type="spellEnd"/>
      <w:r w:rsidRPr="00501E32">
        <w:rPr>
          <w:rFonts w:ascii="Times New Roman" w:hAnsi="Times New Roman" w:cs="Times New Roman"/>
          <w:i/>
          <w:iCs/>
        </w:rPr>
        <w:t xml:space="preserve"> e industria del </w:t>
      </w:r>
      <w:proofErr w:type="spellStart"/>
      <w:r w:rsidRPr="00501E32">
        <w:rPr>
          <w:rFonts w:ascii="Times New Roman" w:hAnsi="Times New Roman" w:cs="Times New Roman"/>
          <w:i/>
          <w:iCs/>
        </w:rPr>
        <w:t>servicing</w:t>
      </w:r>
      <w:proofErr w:type="spellEnd"/>
      <w:r w:rsidRPr="00501E32">
        <w:rPr>
          <w:rFonts w:ascii="Times New Roman" w:hAnsi="Times New Roman" w:cs="Times New Roman"/>
        </w:rPr>
        <w:t>, cit.</w:t>
      </w:r>
    </w:p>
  </w:footnote>
  <w:footnote w:id="6">
    <w:p w:rsidR="007D5366" w:rsidRPr="00501E32" w:rsidRDefault="007D5366"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Sull</w:t>
      </w:r>
      <w:r w:rsidR="00855E03">
        <w:rPr>
          <w:rFonts w:ascii="Times New Roman" w:hAnsi="Times New Roman" w:cs="Times New Roman"/>
        </w:rPr>
        <w:t>’</w:t>
      </w:r>
      <w:r w:rsidRPr="00501E32">
        <w:rPr>
          <w:rFonts w:ascii="Times New Roman" w:hAnsi="Times New Roman" w:cs="Times New Roman"/>
        </w:rPr>
        <w:t xml:space="preserve">attività di </w:t>
      </w:r>
      <w:r w:rsidRPr="00501E32">
        <w:rPr>
          <w:rFonts w:ascii="Times New Roman" w:hAnsi="Times New Roman" w:cs="Times New Roman"/>
          <w:i/>
          <w:iCs/>
        </w:rPr>
        <w:t>de-</w:t>
      </w:r>
      <w:proofErr w:type="spellStart"/>
      <w:r w:rsidRPr="00501E32">
        <w:rPr>
          <w:rFonts w:ascii="Times New Roman" w:hAnsi="Times New Roman" w:cs="Times New Roman"/>
          <w:i/>
          <w:iCs/>
        </w:rPr>
        <w:t>risking</w:t>
      </w:r>
      <w:proofErr w:type="spellEnd"/>
      <w:r w:rsidRPr="00501E32">
        <w:rPr>
          <w:rFonts w:ascii="Times New Roman" w:hAnsi="Times New Roman" w:cs="Times New Roman"/>
        </w:rPr>
        <w:t xml:space="preserve"> quale necessità imposta dalle direttive prudenziali dell</w:t>
      </w:r>
      <w:r w:rsidR="00855E03">
        <w:rPr>
          <w:rFonts w:ascii="Times New Roman" w:hAnsi="Times New Roman" w:cs="Times New Roman"/>
        </w:rPr>
        <w:t>’</w:t>
      </w:r>
      <w:r w:rsidRPr="00501E32">
        <w:rPr>
          <w:rFonts w:ascii="Times New Roman" w:hAnsi="Times New Roman" w:cs="Times New Roman"/>
        </w:rPr>
        <w:t>autorità di vigilanza bancaria nazionale ed europea si veda oltre, par. 3.</w:t>
      </w:r>
    </w:p>
  </w:footnote>
  <w:footnote w:id="7">
    <w:p w:rsidR="00AC2136" w:rsidRPr="00501E32" w:rsidRDefault="00AC2136" w:rsidP="00501E32">
      <w:pPr>
        <w:pStyle w:val="Testonotaapidipagina"/>
        <w:jc w:val="both"/>
        <w:rPr>
          <w:rFonts w:ascii="Times New Roman" w:hAnsi="Times New Roman" w:cs="Times New Roman"/>
          <w:lang w:val="en-US"/>
        </w:rPr>
      </w:pPr>
      <w:r w:rsidRPr="00501E32">
        <w:rPr>
          <w:rStyle w:val="Rimandonotaapidipagina"/>
          <w:rFonts w:ascii="Times New Roman" w:hAnsi="Times New Roman" w:cs="Times New Roman"/>
        </w:rPr>
        <w:footnoteRef/>
      </w:r>
      <w:r w:rsidRPr="00501E32">
        <w:rPr>
          <w:rFonts w:ascii="Times New Roman" w:hAnsi="Times New Roman" w:cs="Times New Roman"/>
          <w:lang w:val="en-US"/>
        </w:rPr>
        <w:t xml:space="preserve"> PWC, </w:t>
      </w:r>
      <w:r w:rsidRPr="00501E32">
        <w:rPr>
          <w:rFonts w:ascii="Times New Roman" w:hAnsi="Times New Roman" w:cs="Times New Roman"/>
          <w:i/>
          <w:iCs/>
          <w:lang w:val="en-US"/>
        </w:rPr>
        <w:t>The Italian NPE Market - Brand New Day? (December 2022)</w:t>
      </w:r>
      <w:r w:rsidRPr="00501E32">
        <w:rPr>
          <w:rFonts w:ascii="Times New Roman" w:hAnsi="Times New Roman" w:cs="Times New Roman"/>
          <w:lang w:val="en-US"/>
        </w:rPr>
        <w:t>, https://www.pwc.com/it/it/publications/npl/doc/pwc-the-italian-npe-market-dec2022.pdf</w:t>
      </w:r>
    </w:p>
  </w:footnote>
  <w:footnote w:id="8">
    <w:p w:rsidR="00B90C64" w:rsidRPr="00501E32" w:rsidRDefault="00B90C64"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E64494" w:rsidRPr="00501E32">
        <w:rPr>
          <w:rFonts w:ascii="Times New Roman" w:hAnsi="Times New Roman" w:cs="Times New Roman"/>
        </w:rPr>
        <w:t xml:space="preserve">Market Watch NPL Banca Ifis, </w:t>
      </w:r>
      <w:r w:rsidR="00E64494" w:rsidRPr="00501E32">
        <w:rPr>
          <w:rFonts w:ascii="Times New Roman" w:hAnsi="Times New Roman" w:cs="Times New Roman"/>
          <w:i/>
          <w:iCs/>
        </w:rPr>
        <w:t xml:space="preserve">Mercato delle transazioni </w:t>
      </w:r>
      <w:proofErr w:type="spellStart"/>
      <w:r w:rsidR="00E64494" w:rsidRPr="00501E32">
        <w:rPr>
          <w:rFonts w:ascii="Times New Roman" w:hAnsi="Times New Roman" w:cs="Times New Roman"/>
          <w:i/>
          <w:iCs/>
        </w:rPr>
        <w:t>Npl</w:t>
      </w:r>
      <w:proofErr w:type="spellEnd"/>
      <w:r w:rsidR="00E64494" w:rsidRPr="00501E32">
        <w:rPr>
          <w:rFonts w:ascii="Times New Roman" w:hAnsi="Times New Roman" w:cs="Times New Roman"/>
          <w:i/>
          <w:iCs/>
        </w:rPr>
        <w:t xml:space="preserve"> e industria del </w:t>
      </w:r>
      <w:proofErr w:type="spellStart"/>
      <w:r w:rsidR="00E64494" w:rsidRPr="00501E32">
        <w:rPr>
          <w:rFonts w:ascii="Times New Roman" w:hAnsi="Times New Roman" w:cs="Times New Roman"/>
          <w:i/>
          <w:iCs/>
        </w:rPr>
        <w:t>servicing</w:t>
      </w:r>
      <w:proofErr w:type="spellEnd"/>
      <w:r w:rsidR="00E64494" w:rsidRPr="00501E32">
        <w:rPr>
          <w:rFonts w:ascii="Times New Roman" w:hAnsi="Times New Roman" w:cs="Times New Roman"/>
          <w:i/>
          <w:iCs/>
        </w:rPr>
        <w:t xml:space="preserve"> Previsioni 2022-2024</w:t>
      </w:r>
      <w:r w:rsidR="00E64494" w:rsidRPr="00501E32">
        <w:rPr>
          <w:rFonts w:ascii="Times New Roman" w:hAnsi="Times New Roman" w:cs="Times New Roman"/>
        </w:rPr>
        <w:t>, cit.</w:t>
      </w:r>
    </w:p>
  </w:footnote>
  <w:footnote w:id="9">
    <w:p w:rsidR="00631C46" w:rsidRPr="00501E32" w:rsidRDefault="00631C46"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La proposta EBA entrerà in vigore il ventesimo giorno dopo la pubblicazione in Gazzetta Ufficiale dell</w:t>
      </w:r>
      <w:r w:rsidR="00855E03">
        <w:rPr>
          <w:rFonts w:ascii="Times New Roman" w:hAnsi="Times New Roman" w:cs="Times New Roman"/>
        </w:rPr>
        <w:t>’</w:t>
      </w:r>
      <w:r w:rsidRPr="00501E32">
        <w:rPr>
          <w:rFonts w:ascii="Times New Roman" w:hAnsi="Times New Roman" w:cs="Times New Roman"/>
        </w:rPr>
        <w:t>Unione Europea.</w:t>
      </w:r>
    </w:p>
  </w:footnote>
  <w:footnote w:id="10">
    <w:p w:rsidR="00AC2136" w:rsidRPr="00501E32" w:rsidRDefault="00AC2136"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PWC, </w:t>
      </w:r>
      <w:r w:rsidRPr="00501E32">
        <w:rPr>
          <w:rFonts w:ascii="Times New Roman" w:hAnsi="Times New Roman" w:cs="Times New Roman"/>
          <w:i/>
          <w:iCs/>
        </w:rPr>
        <w:t>Il mercato secondario NPE - Mercato ed evoluzioni normative: trend, esigenze e opportunità</w:t>
      </w:r>
      <w:r w:rsidRPr="00501E32">
        <w:rPr>
          <w:rFonts w:ascii="Times New Roman" w:hAnsi="Times New Roman" w:cs="Times New Roman"/>
        </w:rPr>
        <w:t>, https://www.pwc.com/it/it/publications/npl/doc/pwc-il-mercato-secondario-npe.pdf</w:t>
      </w:r>
    </w:p>
  </w:footnote>
  <w:footnote w:id="11">
    <w:p w:rsidR="000837AC" w:rsidRPr="00501E32" w:rsidRDefault="000837AC"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E70EAC" w:rsidRPr="00501E32">
        <w:rPr>
          <w:rFonts w:ascii="Times New Roman" w:hAnsi="Times New Roman" w:cs="Times New Roman"/>
        </w:rPr>
        <w:t xml:space="preserve">Dati tratti da: </w:t>
      </w:r>
      <w:r w:rsidRPr="00501E32">
        <w:rPr>
          <w:rFonts w:ascii="Times New Roman" w:hAnsi="Times New Roman" w:cs="Times New Roman"/>
        </w:rPr>
        <w:t xml:space="preserve">Market Watch NPL Banca Ifis, </w:t>
      </w:r>
      <w:r w:rsidRPr="00501E32">
        <w:rPr>
          <w:rFonts w:ascii="Times New Roman" w:hAnsi="Times New Roman" w:cs="Times New Roman"/>
          <w:i/>
          <w:iCs/>
        </w:rPr>
        <w:t xml:space="preserve">Mercato delle transazioni </w:t>
      </w:r>
      <w:proofErr w:type="spellStart"/>
      <w:r w:rsidRPr="00501E32">
        <w:rPr>
          <w:rFonts w:ascii="Times New Roman" w:hAnsi="Times New Roman" w:cs="Times New Roman"/>
          <w:i/>
          <w:iCs/>
        </w:rPr>
        <w:t>Npl</w:t>
      </w:r>
      <w:proofErr w:type="spellEnd"/>
      <w:r w:rsidRPr="00501E32">
        <w:rPr>
          <w:rFonts w:ascii="Times New Roman" w:hAnsi="Times New Roman" w:cs="Times New Roman"/>
          <w:i/>
          <w:iCs/>
        </w:rPr>
        <w:t xml:space="preserve"> e industria del </w:t>
      </w:r>
      <w:proofErr w:type="spellStart"/>
      <w:r w:rsidRPr="00501E32">
        <w:rPr>
          <w:rFonts w:ascii="Times New Roman" w:hAnsi="Times New Roman" w:cs="Times New Roman"/>
          <w:i/>
          <w:iCs/>
        </w:rPr>
        <w:t>servicing</w:t>
      </w:r>
      <w:proofErr w:type="spellEnd"/>
      <w:r w:rsidRPr="00501E32">
        <w:rPr>
          <w:rFonts w:ascii="Times New Roman" w:hAnsi="Times New Roman" w:cs="Times New Roman"/>
          <w:i/>
          <w:iCs/>
        </w:rPr>
        <w:t xml:space="preserve"> Previsioni 2022-2024</w:t>
      </w:r>
      <w:r w:rsidRPr="00501E32">
        <w:rPr>
          <w:rFonts w:ascii="Times New Roman" w:hAnsi="Times New Roman" w:cs="Times New Roman"/>
        </w:rPr>
        <w:t>, cit.</w:t>
      </w:r>
    </w:p>
  </w:footnote>
  <w:footnote w:id="12">
    <w:p w:rsidR="00C47B40" w:rsidRPr="00501E32" w:rsidRDefault="00C47B40"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Nel</w:t>
      </w:r>
      <w:r w:rsidR="001D35C2" w:rsidRPr="00501E32">
        <w:rPr>
          <w:rFonts w:ascii="Times New Roman" w:hAnsi="Times New Roman" w:cs="Times New Roman"/>
        </w:rPr>
        <w:t xml:space="preserve"> testo, conformemente all</w:t>
      </w:r>
      <w:r w:rsidR="00855E03">
        <w:rPr>
          <w:rFonts w:ascii="Times New Roman" w:hAnsi="Times New Roman" w:cs="Times New Roman"/>
        </w:rPr>
        <w:t>’</w:t>
      </w:r>
      <w:r w:rsidR="001D35C2" w:rsidRPr="00501E32">
        <w:rPr>
          <w:rFonts w:ascii="Times New Roman" w:hAnsi="Times New Roman" w:cs="Times New Roman"/>
        </w:rPr>
        <w:t>uso corrente, il termine “transazione” non si riferisce al contratto di cui agli artt. 1965 ss. c.c., bensì viene impiegato per individuare ogni tipo di operazione negoziale che ha per effetto il trasferimento della titolarità o del diritto di riscuotere crediti deteriorati dismessi dal sistema bancario o circolanti sul mercato secondario.</w:t>
      </w:r>
    </w:p>
  </w:footnote>
  <w:footnote w:id="13">
    <w:p w:rsidR="0063347B" w:rsidRPr="00501E32" w:rsidRDefault="0063347B" w:rsidP="00501E32">
      <w:pPr>
        <w:pStyle w:val="Testonotaapidipagina"/>
        <w:jc w:val="both"/>
        <w:rPr>
          <w:rFonts w:ascii="Times New Roman" w:eastAsia="Times New Roman" w:hAnsi="Times New Roman" w:cs="Times New Roman"/>
          <w:lang w:eastAsia="it-IT"/>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Il nuovo corso giurisprudenziale deve essere fatto risalire a Cass. 8 maggio 2006</w:t>
      </w:r>
      <w:r w:rsidRPr="00501E32">
        <w:rPr>
          <w:rFonts w:ascii="Times New Roman" w:eastAsia="Times New Roman" w:hAnsi="Times New Roman" w:cs="Times New Roman"/>
          <w:lang w:eastAsia="it-IT"/>
        </w:rPr>
        <w:t xml:space="preserve">, n. 10490; fra i vari commenti: F. Rolfi, </w:t>
      </w:r>
      <w:r w:rsidRPr="00501E32">
        <w:rPr>
          <w:rFonts w:ascii="Times New Roman" w:eastAsia="Times New Roman" w:hAnsi="Times New Roman" w:cs="Times New Roman"/>
          <w:i/>
          <w:iCs/>
          <w:lang w:eastAsia="it-IT"/>
        </w:rPr>
        <w:t xml:space="preserve">La causa come “funzione economico sociale”: tramonto di un </w:t>
      </w:r>
      <w:proofErr w:type="spellStart"/>
      <w:r w:rsidRPr="00501E32">
        <w:rPr>
          <w:rFonts w:ascii="Times New Roman" w:eastAsia="Times New Roman" w:hAnsi="Times New Roman" w:cs="Times New Roman"/>
          <w:i/>
          <w:iCs/>
          <w:lang w:eastAsia="it-IT"/>
        </w:rPr>
        <w:t>idolum</w:t>
      </w:r>
      <w:proofErr w:type="spellEnd"/>
      <w:r w:rsidRPr="00501E32">
        <w:rPr>
          <w:rFonts w:ascii="Times New Roman" w:eastAsia="Times New Roman" w:hAnsi="Times New Roman" w:cs="Times New Roman"/>
          <w:i/>
          <w:iCs/>
          <w:lang w:eastAsia="it-IT"/>
        </w:rPr>
        <w:t xml:space="preserve"> </w:t>
      </w:r>
      <w:proofErr w:type="spellStart"/>
      <w:r w:rsidRPr="00501E32">
        <w:rPr>
          <w:rFonts w:ascii="Times New Roman" w:eastAsia="Times New Roman" w:hAnsi="Times New Roman" w:cs="Times New Roman"/>
          <w:i/>
          <w:iCs/>
          <w:lang w:eastAsia="it-IT"/>
        </w:rPr>
        <w:t>tribus</w:t>
      </w:r>
      <w:proofErr w:type="spellEnd"/>
      <w:r w:rsidRPr="00501E32">
        <w:rPr>
          <w:rFonts w:ascii="Times New Roman" w:eastAsia="Times New Roman" w:hAnsi="Times New Roman" w:cs="Times New Roman"/>
          <w:i/>
          <w:iCs/>
          <w:lang w:eastAsia="it-IT"/>
        </w:rPr>
        <w:t>?</w:t>
      </w:r>
      <w:r w:rsidRPr="00501E32">
        <w:rPr>
          <w:rFonts w:ascii="Times New Roman" w:eastAsia="Times New Roman" w:hAnsi="Times New Roman" w:cs="Times New Roman"/>
          <w:lang w:eastAsia="it-IT"/>
        </w:rPr>
        <w:t xml:space="preserve">, in </w:t>
      </w:r>
      <w:r w:rsidRPr="00501E32">
        <w:rPr>
          <w:rFonts w:ascii="Times New Roman" w:eastAsia="Times New Roman" w:hAnsi="Times New Roman" w:cs="Times New Roman"/>
          <w:i/>
          <w:iCs/>
          <w:lang w:eastAsia="it-IT"/>
        </w:rPr>
        <w:t>Il corriere giuridico</w:t>
      </w:r>
      <w:r w:rsidRPr="00501E32">
        <w:rPr>
          <w:rFonts w:ascii="Times New Roman" w:eastAsia="Times New Roman" w:hAnsi="Times New Roman" w:cs="Times New Roman"/>
          <w:lang w:eastAsia="it-IT"/>
        </w:rPr>
        <w:t xml:space="preserve">, 2006, p. 1718; G. </w:t>
      </w:r>
      <w:proofErr w:type="spellStart"/>
      <w:r w:rsidRPr="00501E32">
        <w:rPr>
          <w:rFonts w:ascii="Times New Roman" w:eastAsia="Times New Roman" w:hAnsi="Times New Roman" w:cs="Times New Roman"/>
          <w:lang w:eastAsia="it-IT"/>
        </w:rPr>
        <w:t>Cricenti</w:t>
      </w:r>
      <w:proofErr w:type="spellEnd"/>
      <w:r w:rsidRPr="00501E32">
        <w:rPr>
          <w:rFonts w:ascii="Times New Roman" w:eastAsia="Times New Roman" w:hAnsi="Times New Roman" w:cs="Times New Roman"/>
          <w:lang w:eastAsia="it-IT"/>
        </w:rPr>
        <w:t xml:space="preserve">, </w:t>
      </w:r>
      <w:r w:rsidRPr="00501E32">
        <w:rPr>
          <w:rFonts w:ascii="Times New Roman" w:eastAsia="Times New Roman" w:hAnsi="Times New Roman" w:cs="Times New Roman"/>
          <w:i/>
          <w:iCs/>
          <w:lang w:eastAsia="it-IT"/>
        </w:rPr>
        <w:t>Note sul contratto inutile</w:t>
      </w:r>
      <w:r w:rsidRPr="00501E32">
        <w:rPr>
          <w:rFonts w:ascii="Times New Roman" w:eastAsia="Times New Roman" w:hAnsi="Times New Roman" w:cs="Times New Roman"/>
          <w:lang w:eastAsia="it-IT"/>
        </w:rPr>
        <w:t xml:space="preserve">, in </w:t>
      </w:r>
      <w:r w:rsidRPr="00501E32">
        <w:rPr>
          <w:rFonts w:ascii="Times New Roman" w:eastAsia="Times New Roman" w:hAnsi="Times New Roman" w:cs="Times New Roman"/>
          <w:i/>
          <w:iCs/>
          <w:lang w:eastAsia="it-IT"/>
        </w:rPr>
        <w:t>Diritto e giurisprudenza</w:t>
      </w:r>
      <w:r w:rsidRPr="00501E32">
        <w:rPr>
          <w:rFonts w:ascii="Times New Roman" w:eastAsia="Times New Roman" w:hAnsi="Times New Roman" w:cs="Times New Roman"/>
          <w:lang w:eastAsia="it-IT"/>
        </w:rPr>
        <w:t xml:space="preserve">, 2007, p. 437; F. Rimoldi, </w:t>
      </w:r>
      <w:r w:rsidRPr="00501E32">
        <w:rPr>
          <w:rFonts w:ascii="Times New Roman" w:eastAsia="Times New Roman" w:hAnsi="Times New Roman" w:cs="Times New Roman"/>
          <w:i/>
          <w:iCs/>
          <w:lang w:eastAsia="it-IT"/>
        </w:rPr>
        <w:t>La causa quale ragione in concreto del singolo contratto</w:t>
      </w:r>
      <w:r w:rsidRPr="00501E32">
        <w:rPr>
          <w:rFonts w:ascii="Times New Roman" w:eastAsia="Times New Roman" w:hAnsi="Times New Roman" w:cs="Times New Roman"/>
          <w:lang w:eastAsia="it-IT"/>
        </w:rPr>
        <w:t xml:space="preserve">, in </w:t>
      </w:r>
      <w:r w:rsidRPr="00501E32">
        <w:rPr>
          <w:rFonts w:ascii="Times New Roman" w:eastAsia="Times New Roman" w:hAnsi="Times New Roman" w:cs="Times New Roman"/>
          <w:i/>
          <w:iCs/>
          <w:lang w:eastAsia="it-IT"/>
        </w:rPr>
        <w:t>I contratti</w:t>
      </w:r>
      <w:r w:rsidRPr="00501E32">
        <w:rPr>
          <w:rFonts w:ascii="Times New Roman" w:eastAsia="Times New Roman" w:hAnsi="Times New Roman" w:cs="Times New Roman"/>
          <w:lang w:eastAsia="it-IT"/>
        </w:rPr>
        <w:t xml:space="preserve">, 2007, p. 621; C. Ungari Transatti, </w:t>
      </w:r>
      <w:r w:rsidRPr="00501E32">
        <w:rPr>
          <w:rFonts w:ascii="Times New Roman" w:eastAsia="Times New Roman" w:hAnsi="Times New Roman" w:cs="Times New Roman"/>
          <w:i/>
          <w:iCs/>
          <w:lang w:eastAsia="it-IT"/>
        </w:rPr>
        <w:t>La Cassazione sposa la tesi della causa in concreto del contratto</w:t>
      </w:r>
      <w:r w:rsidRPr="00501E32">
        <w:rPr>
          <w:rFonts w:ascii="Times New Roman" w:eastAsia="Times New Roman" w:hAnsi="Times New Roman" w:cs="Times New Roman"/>
          <w:lang w:eastAsia="it-IT"/>
        </w:rPr>
        <w:t xml:space="preserve">, in </w:t>
      </w:r>
      <w:r w:rsidRPr="00501E32">
        <w:rPr>
          <w:rFonts w:ascii="Times New Roman" w:eastAsia="Times New Roman" w:hAnsi="Times New Roman" w:cs="Times New Roman"/>
          <w:i/>
          <w:iCs/>
          <w:lang w:eastAsia="it-IT"/>
        </w:rPr>
        <w:t>Rivista del notariato</w:t>
      </w:r>
      <w:r w:rsidRPr="00501E32">
        <w:rPr>
          <w:rFonts w:ascii="Times New Roman" w:eastAsia="Times New Roman" w:hAnsi="Times New Roman" w:cs="Times New Roman"/>
          <w:lang w:eastAsia="it-IT"/>
        </w:rPr>
        <w:t xml:space="preserve">, 2007, 2, p. 180; F. Rossi, </w:t>
      </w:r>
      <w:r w:rsidRPr="00501E32">
        <w:rPr>
          <w:rFonts w:ascii="Times New Roman" w:eastAsia="Times New Roman" w:hAnsi="Times New Roman" w:cs="Times New Roman"/>
          <w:i/>
          <w:iCs/>
          <w:lang w:eastAsia="it-IT"/>
        </w:rPr>
        <w:t>La teoria della causa concreta e il suo esplicito riconoscimento da parte della Suprema Corte</w:t>
      </w:r>
      <w:r w:rsidRPr="00501E32">
        <w:rPr>
          <w:rFonts w:ascii="Times New Roman" w:eastAsia="Times New Roman" w:hAnsi="Times New Roman" w:cs="Times New Roman"/>
          <w:lang w:eastAsia="it-IT"/>
        </w:rPr>
        <w:t>, in Rassegna di diritto civile, 2008, p. 564.</w:t>
      </w:r>
    </w:p>
    <w:p w:rsidR="006E0B34" w:rsidRPr="00501E32" w:rsidRDefault="006E0B34" w:rsidP="00501E32">
      <w:pPr>
        <w:pStyle w:val="Testonotaapidipagina"/>
        <w:jc w:val="both"/>
        <w:rPr>
          <w:rFonts w:ascii="Times New Roman" w:hAnsi="Times New Roman" w:cs="Times New Roman"/>
        </w:rPr>
      </w:pPr>
      <w:r w:rsidRPr="00501E32">
        <w:rPr>
          <w:rFonts w:ascii="Times New Roman" w:eastAsia="Times New Roman" w:hAnsi="Times New Roman" w:cs="Times New Roman"/>
          <w:lang w:eastAsia="it-IT"/>
        </w:rPr>
        <w:t>In dottrina, la teoria della causa quale «</w:t>
      </w:r>
      <w:r w:rsidRPr="00501E32">
        <w:rPr>
          <w:rFonts w:ascii="Times New Roman" w:eastAsia="Times New Roman" w:hAnsi="Times New Roman" w:cs="Times New Roman"/>
          <w:i/>
          <w:iCs/>
          <w:lang w:eastAsia="it-IT"/>
        </w:rPr>
        <w:t>ragione pratica del contratto, cioè l</w:t>
      </w:r>
      <w:r w:rsidR="00855E03">
        <w:rPr>
          <w:rFonts w:ascii="Times New Roman" w:eastAsia="Times New Roman" w:hAnsi="Times New Roman" w:cs="Times New Roman"/>
          <w:i/>
          <w:iCs/>
          <w:lang w:eastAsia="it-IT"/>
        </w:rPr>
        <w:t>’</w:t>
      </w:r>
      <w:r w:rsidRPr="00501E32">
        <w:rPr>
          <w:rFonts w:ascii="Times New Roman" w:eastAsia="Times New Roman" w:hAnsi="Times New Roman" w:cs="Times New Roman"/>
          <w:i/>
          <w:iCs/>
          <w:lang w:eastAsia="it-IT"/>
        </w:rPr>
        <w:t>interesse che l</w:t>
      </w:r>
      <w:r w:rsidR="00855E03">
        <w:rPr>
          <w:rFonts w:ascii="Times New Roman" w:eastAsia="Times New Roman" w:hAnsi="Times New Roman" w:cs="Times New Roman"/>
          <w:i/>
          <w:iCs/>
          <w:lang w:eastAsia="it-IT"/>
        </w:rPr>
        <w:t>’</w:t>
      </w:r>
      <w:r w:rsidRPr="00501E32">
        <w:rPr>
          <w:rFonts w:ascii="Times New Roman" w:eastAsia="Times New Roman" w:hAnsi="Times New Roman" w:cs="Times New Roman"/>
          <w:i/>
          <w:iCs/>
          <w:lang w:eastAsia="it-IT"/>
        </w:rPr>
        <w:t>operazione contrattuale è diretta a soddisfare</w:t>
      </w:r>
      <w:r w:rsidRPr="00501E32">
        <w:rPr>
          <w:rFonts w:ascii="Times New Roman" w:eastAsia="Times New Roman" w:hAnsi="Times New Roman" w:cs="Times New Roman"/>
          <w:lang w:eastAsia="it-IT"/>
        </w:rPr>
        <w:t xml:space="preserve">» è sostenuta convintamente da C.M. Bianca, </w:t>
      </w:r>
      <w:r w:rsidRPr="00501E32">
        <w:rPr>
          <w:rFonts w:ascii="Times New Roman" w:eastAsia="Times New Roman" w:hAnsi="Times New Roman" w:cs="Times New Roman"/>
          <w:i/>
          <w:iCs/>
          <w:lang w:eastAsia="it-IT"/>
        </w:rPr>
        <w:t>Diritto civile</w:t>
      </w:r>
      <w:r w:rsidRPr="00501E32">
        <w:rPr>
          <w:rFonts w:ascii="Times New Roman" w:eastAsia="Times New Roman" w:hAnsi="Times New Roman" w:cs="Times New Roman"/>
          <w:lang w:eastAsia="it-IT"/>
        </w:rPr>
        <w:t xml:space="preserve">, 3, </w:t>
      </w:r>
      <w:r w:rsidRPr="00501E32">
        <w:rPr>
          <w:rFonts w:ascii="Times New Roman" w:eastAsia="Times New Roman" w:hAnsi="Times New Roman" w:cs="Times New Roman"/>
          <w:i/>
          <w:iCs/>
          <w:lang w:eastAsia="it-IT"/>
        </w:rPr>
        <w:t>Il contratto</w:t>
      </w:r>
      <w:r w:rsidRPr="00501E32">
        <w:rPr>
          <w:rFonts w:ascii="Times New Roman" w:eastAsia="Times New Roman" w:hAnsi="Times New Roman" w:cs="Times New Roman"/>
          <w:lang w:eastAsia="it-IT"/>
        </w:rPr>
        <w:t>, Milano, 1987, p. 419 ss., soprattutto p. 425.</w:t>
      </w:r>
    </w:p>
  </w:footnote>
  <w:footnote w:id="14">
    <w:p w:rsidR="00F417FD" w:rsidRPr="00501E32" w:rsidRDefault="00F417FD"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Pr="00501E32">
        <w:rPr>
          <w:rFonts w:ascii="Times New Roman" w:eastAsia="Times New Roman" w:hAnsi="Times New Roman" w:cs="Times New Roman"/>
          <w:lang w:eastAsia="it-IT"/>
        </w:rPr>
        <w:t>Cass. 16 maggio 2017, n. 12069.</w:t>
      </w:r>
    </w:p>
  </w:footnote>
  <w:footnote w:id="15">
    <w:p w:rsidR="009C0964" w:rsidRPr="00501E32" w:rsidRDefault="009C0964"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Per la valorizzazione della nozione di “mercato” come chiave di interpretazione dei fenomeni giuridici a contenuto commerciale: </w:t>
      </w:r>
      <w:proofErr w:type="spellStart"/>
      <w:r w:rsidRPr="00501E32">
        <w:rPr>
          <w:rFonts w:ascii="Times New Roman" w:hAnsi="Times New Roman" w:cs="Times New Roman"/>
        </w:rPr>
        <w:t>Cooter</w:t>
      </w:r>
      <w:proofErr w:type="spellEnd"/>
      <w:r w:rsidRPr="00501E32">
        <w:rPr>
          <w:rFonts w:ascii="Times New Roman" w:hAnsi="Times New Roman" w:cs="Times New Roman"/>
        </w:rPr>
        <w:t xml:space="preserve">, Mattei, </w:t>
      </w:r>
      <w:proofErr w:type="spellStart"/>
      <w:r w:rsidRPr="00501E32">
        <w:rPr>
          <w:rFonts w:ascii="Times New Roman" w:hAnsi="Times New Roman" w:cs="Times New Roman"/>
        </w:rPr>
        <w:t>Monateri</w:t>
      </w:r>
      <w:proofErr w:type="spellEnd"/>
      <w:r w:rsidRPr="00501E32">
        <w:rPr>
          <w:rFonts w:ascii="Times New Roman" w:hAnsi="Times New Roman" w:cs="Times New Roman"/>
        </w:rPr>
        <w:t xml:space="preserve">, </w:t>
      </w:r>
      <w:proofErr w:type="spellStart"/>
      <w:r w:rsidRPr="00501E32">
        <w:rPr>
          <w:rFonts w:ascii="Times New Roman" w:hAnsi="Times New Roman" w:cs="Times New Roman"/>
        </w:rPr>
        <w:t>Parolesi</w:t>
      </w:r>
      <w:proofErr w:type="spellEnd"/>
      <w:r w:rsidRPr="00501E32">
        <w:rPr>
          <w:rFonts w:ascii="Times New Roman" w:hAnsi="Times New Roman" w:cs="Times New Roman"/>
        </w:rPr>
        <w:t xml:space="preserve"> e </w:t>
      </w:r>
      <w:proofErr w:type="spellStart"/>
      <w:r w:rsidRPr="00501E32">
        <w:rPr>
          <w:rFonts w:ascii="Times New Roman" w:hAnsi="Times New Roman" w:cs="Times New Roman"/>
        </w:rPr>
        <w:t>Ulen</w:t>
      </w:r>
      <w:proofErr w:type="spellEnd"/>
      <w:r w:rsidRPr="00501E32">
        <w:rPr>
          <w:rFonts w:ascii="Times New Roman" w:hAnsi="Times New Roman" w:cs="Times New Roman"/>
        </w:rPr>
        <w:t xml:space="preserve">, </w:t>
      </w:r>
      <w:r w:rsidRPr="00501E32">
        <w:rPr>
          <w:rFonts w:ascii="Times New Roman" w:hAnsi="Times New Roman" w:cs="Times New Roman"/>
          <w:i/>
          <w:iCs/>
        </w:rPr>
        <w:t>Il mercato delle regole. Analisi economica del diritto civile</w:t>
      </w:r>
      <w:r w:rsidRPr="00501E32">
        <w:rPr>
          <w:rFonts w:ascii="Times New Roman" w:hAnsi="Times New Roman" w:cs="Times New Roman"/>
        </w:rPr>
        <w:t>, Bologna, 1999.</w:t>
      </w:r>
    </w:p>
  </w:footnote>
  <w:footnote w:id="16">
    <w:p w:rsidR="009940B4" w:rsidRPr="00501E32" w:rsidRDefault="009C0964" w:rsidP="00501E32">
      <w:pPr>
        <w:pStyle w:val="Testonotaapidipagina"/>
        <w:jc w:val="both"/>
        <w:rPr>
          <w:rFonts w:ascii="Times New Roman" w:eastAsia="Times New Roman" w:hAnsi="Times New Roman" w:cs="Times New Roman"/>
          <w:color w:val="4B4B4C"/>
          <w:lang w:eastAsia="it-IT"/>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Pr="00501E32">
        <w:rPr>
          <w:rFonts w:ascii="Times New Roman" w:eastAsia="Times New Roman" w:hAnsi="Times New Roman" w:cs="Times New Roman"/>
          <w:color w:val="4B4B4C"/>
          <w:lang w:eastAsia="it-IT"/>
        </w:rPr>
        <w:t>Infatti, «</w:t>
      </w:r>
      <w:r w:rsidRPr="00501E32">
        <w:rPr>
          <w:rFonts w:ascii="Times New Roman" w:eastAsia="Times New Roman" w:hAnsi="Times New Roman" w:cs="Times New Roman"/>
          <w:i/>
          <w:iCs/>
          <w:color w:val="4B4B4C"/>
          <w:lang w:eastAsia="it-IT"/>
        </w:rPr>
        <w:t>quello di mercato si pone come un termine evidentemente polisemico, venendo utilizzato ora, in un</w:t>
      </w:r>
      <w:r w:rsidR="00855E03">
        <w:rPr>
          <w:rFonts w:ascii="Times New Roman" w:eastAsia="Times New Roman" w:hAnsi="Times New Roman" w:cs="Times New Roman"/>
          <w:i/>
          <w:iCs/>
          <w:color w:val="4B4B4C"/>
          <w:lang w:eastAsia="it-IT"/>
        </w:rPr>
        <w:t>’</w:t>
      </w:r>
      <w:r w:rsidRPr="00501E32">
        <w:rPr>
          <w:rFonts w:ascii="Times New Roman" w:eastAsia="Times New Roman" w:hAnsi="Times New Roman" w:cs="Times New Roman"/>
          <w:i/>
          <w:iCs/>
          <w:color w:val="4B4B4C"/>
          <w:lang w:eastAsia="it-IT"/>
        </w:rPr>
        <w:t>accezione più concreta, per identificare tanto una dimensione dello spazio – il luogo, cioè, dove si svolgono le contrattazioni di uno o più beni determinati – quanto le organizzazioni che prestano servizi per favorire le relative negoziazioni, agevolando l</w:t>
      </w:r>
      <w:r w:rsidR="00855E03">
        <w:rPr>
          <w:rFonts w:ascii="Times New Roman" w:eastAsia="Times New Roman" w:hAnsi="Times New Roman" w:cs="Times New Roman"/>
          <w:i/>
          <w:iCs/>
          <w:color w:val="4B4B4C"/>
          <w:lang w:eastAsia="it-IT"/>
        </w:rPr>
        <w:t>’</w:t>
      </w:r>
      <w:r w:rsidRPr="00501E32">
        <w:rPr>
          <w:rFonts w:ascii="Times New Roman" w:eastAsia="Times New Roman" w:hAnsi="Times New Roman" w:cs="Times New Roman"/>
          <w:i/>
          <w:iCs/>
          <w:color w:val="4B4B4C"/>
          <w:lang w:eastAsia="it-IT"/>
        </w:rPr>
        <w:t>incontro di domanda e offerta e riducendo i cosiddetti costi di transazione; ora, in un senso decisamente traslato, l</w:t>
      </w:r>
      <w:r w:rsidR="00855E03">
        <w:rPr>
          <w:rFonts w:ascii="Times New Roman" w:eastAsia="Times New Roman" w:hAnsi="Times New Roman" w:cs="Times New Roman"/>
          <w:i/>
          <w:iCs/>
          <w:color w:val="4B4B4C"/>
          <w:lang w:eastAsia="it-IT"/>
        </w:rPr>
        <w:t>’</w:t>
      </w:r>
      <w:r w:rsidRPr="00501E32">
        <w:rPr>
          <w:rFonts w:ascii="Times New Roman" w:eastAsia="Times New Roman" w:hAnsi="Times New Roman" w:cs="Times New Roman"/>
          <w:i/>
          <w:iCs/>
          <w:color w:val="4B4B4C"/>
          <w:lang w:eastAsia="it-IT"/>
        </w:rPr>
        <w:t>insieme delle negoziazioni relative ad un determinato tipo di beni; ora, ancora, in un progresso del processo di astrazione, un</w:t>
      </w:r>
      <w:r w:rsidR="00855E03">
        <w:rPr>
          <w:rFonts w:ascii="Times New Roman" w:eastAsia="Times New Roman" w:hAnsi="Times New Roman" w:cs="Times New Roman"/>
          <w:i/>
          <w:iCs/>
          <w:color w:val="4B4B4C"/>
          <w:lang w:eastAsia="it-IT"/>
        </w:rPr>
        <w:t>’</w:t>
      </w:r>
      <w:r w:rsidRPr="00501E32">
        <w:rPr>
          <w:rFonts w:ascii="Times New Roman" w:eastAsia="Times New Roman" w:hAnsi="Times New Roman" w:cs="Times New Roman"/>
          <w:i/>
          <w:iCs/>
          <w:color w:val="4B4B4C"/>
          <w:lang w:eastAsia="it-IT"/>
        </w:rPr>
        <w:t>istituzione socio-economica, ovvero il meccanismo che regola la quantità prodotta e offerta di un bene nonché la formazione del prezzo</w:t>
      </w:r>
      <w:r w:rsidRPr="00501E32">
        <w:rPr>
          <w:rFonts w:ascii="Times New Roman" w:eastAsia="Times New Roman" w:hAnsi="Times New Roman" w:cs="Times New Roman"/>
          <w:color w:val="4B4B4C"/>
          <w:lang w:eastAsia="it-IT"/>
        </w:rPr>
        <w:t xml:space="preserve">»; così Guizzi, </w:t>
      </w:r>
      <w:r w:rsidRPr="00501E32">
        <w:rPr>
          <w:rFonts w:ascii="Times New Roman" w:eastAsia="Times New Roman" w:hAnsi="Times New Roman" w:cs="Times New Roman"/>
          <w:i/>
          <w:iCs/>
          <w:color w:val="4B4B4C"/>
          <w:lang w:eastAsia="it-IT"/>
        </w:rPr>
        <w:t>Mercato finanziario, in Enciclopedia del diritto – Aggiornamento</w:t>
      </w:r>
      <w:r w:rsidRPr="00501E32">
        <w:rPr>
          <w:rFonts w:ascii="Times New Roman" w:eastAsia="Times New Roman" w:hAnsi="Times New Roman" w:cs="Times New Roman"/>
          <w:color w:val="4B4B4C"/>
          <w:lang w:eastAsia="it-IT"/>
        </w:rPr>
        <w:t xml:space="preserve">, </w:t>
      </w:r>
      <w:r w:rsidR="009940B4" w:rsidRPr="00501E32">
        <w:rPr>
          <w:rFonts w:ascii="Times New Roman" w:eastAsia="Times New Roman" w:hAnsi="Times New Roman" w:cs="Times New Roman"/>
          <w:color w:val="4B4B4C"/>
          <w:lang w:eastAsia="it-IT"/>
        </w:rPr>
        <w:t xml:space="preserve">V, </w:t>
      </w:r>
      <w:r w:rsidRPr="00501E32">
        <w:rPr>
          <w:rFonts w:ascii="Times New Roman" w:eastAsia="Times New Roman" w:hAnsi="Times New Roman" w:cs="Times New Roman"/>
          <w:color w:val="4B4B4C"/>
          <w:lang w:eastAsia="it-IT"/>
        </w:rPr>
        <w:t>Milano, 2001, p. 745, cui si rinvia per un ulteriore approfondimento bibliografico.</w:t>
      </w:r>
    </w:p>
    <w:p w:rsidR="009C0964" w:rsidRPr="00501E32" w:rsidRDefault="009940B4" w:rsidP="00501E32">
      <w:pPr>
        <w:pStyle w:val="Testonotaapidipagina"/>
        <w:jc w:val="both"/>
        <w:rPr>
          <w:rFonts w:ascii="Times New Roman" w:hAnsi="Times New Roman" w:cs="Times New Roman"/>
        </w:rPr>
      </w:pPr>
      <w:r w:rsidRPr="00501E32">
        <w:rPr>
          <w:rFonts w:ascii="Times New Roman" w:eastAsia="Times New Roman" w:hAnsi="Times New Roman" w:cs="Times New Roman"/>
          <w:color w:val="4B4B4C"/>
          <w:lang w:eastAsia="it-IT"/>
        </w:rPr>
        <w:t xml:space="preserve">Anche per </w:t>
      </w:r>
      <w:r w:rsidR="00FA56A4" w:rsidRPr="00501E32">
        <w:rPr>
          <w:rFonts w:ascii="Times New Roman" w:eastAsia="Times New Roman" w:hAnsi="Times New Roman" w:cs="Times New Roman"/>
          <w:color w:val="4B4B4C"/>
          <w:lang w:eastAsia="it-IT"/>
        </w:rPr>
        <w:t xml:space="preserve">Zito, </w:t>
      </w:r>
      <w:r w:rsidR="00FA56A4" w:rsidRPr="00501E32">
        <w:rPr>
          <w:rFonts w:ascii="Times New Roman" w:eastAsia="Times New Roman" w:hAnsi="Times New Roman" w:cs="Times New Roman"/>
          <w:i/>
          <w:iCs/>
          <w:color w:val="4B4B4C"/>
          <w:lang w:eastAsia="it-IT"/>
        </w:rPr>
        <w:t>Mercati (regolazione dei)</w:t>
      </w:r>
      <w:r w:rsidR="00FA56A4" w:rsidRPr="00501E32">
        <w:rPr>
          <w:rFonts w:ascii="Times New Roman" w:eastAsia="Times New Roman" w:hAnsi="Times New Roman" w:cs="Times New Roman"/>
          <w:color w:val="4B4B4C"/>
          <w:lang w:eastAsia="it-IT"/>
        </w:rPr>
        <w:t xml:space="preserve">, in </w:t>
      </w:r>
      <w:r w:rsidRPr="00501E32">
        <w:rPr>
          <w:rFonts w:ascii="Times New Roman" w:eastAsia="Times New Roman" w:hAnsi="Times New Roman" w:cs="Times New Roman"/>
          <w:i/>
          <w:iCs/>
          <w:color w:val="4B4B4C"/>
          <w:lang w:eastAsia="it-IT"/>
        </w:rPr>
        <w:t>Enciclopedia del diritto – Annali</w:t>
      </w:r>
      <w:r w:rsidRPr="00501E32">
        <w:rPr>
          <w:rFonts w:ascii="Times New Roman" w:eastAsia="Times New Roman" w:hAnsi="Times New Roman" w:cs="Times New Roman"/>
          <w:color w:val="4B4B4C"/>
          <w:lang w:eastAsia="it-IT"/>
        </w:rPr>
        <w:t xml:space="preserve">, III, Milano, 2010, </w:t>
      </w:r>
      <w:r w:rsidR="00FA56A4" w:rsidRPr="00501E32">
        <w:rPr>
          <w:rFonts w:ascii="Times New Roman" w:eastAsia="Times New Roman" w:hAnsi="Times New Roman" w:cs="Times New Roman"/>
          <w:color w:val="4B4B4C"/>
          <w:lang w:eastAsia="it-IT"/>
        </w:rPr>
        <w:t xml:space="preserve">p. </w:t>
      </w:r>
      <w:r w:rsidRPr="00501E32">
        <w:rPr>
          <w:rFonts w:ascii="Times New Roman" w:eastAsia="Times New Roman" w:hAnsi="Times New Roman" w:cs="Times New Roman"/>
          <w:color w:val="4B4B4C"/>
          <w:lang w:eastAsia="it-IT"/>
        </w:rPr>
        <w:t>808</w:t>
      </w:r>
      <w:r w:rsidR="00FA56A4" w:rsidRPr="00501E32">
        <w:rPr>
          <w:rFonts w:ascii="Times New Roman" w:eastAsia="Times New Roman" w:hAnsi="Times New Roman" w:cs="Times New Roman"/>
          <w:color w:val="4B4B4C"/>
          <w:lang w:eastAsia="it-IT"/>
        </w:rPr>
        <w:t xml:space="preserve"> s.</w:t>
      </w:r>
      <w:r w:rsidRPr="00501E32">
        <w:rPr>
          <w:rFonts w:ascii="Times New Roman" w:eastAsia="Times New Roman" w:hAnsi="Times New Roman" w:cs="Times New Roman"/>
          <w:color w:val="4B4B4C"/>
          <w:lang w:eastAsia="it-IT"/>
        </w:rPr>
        <w:t>, il concetto di mercato è caratterizzato da una accentuata polisemia.</w:t>
      </w:r>
      <w:r w:rsidR="00FA56A4" w:rsidRPr="00501E32">
        <w:rPr>
          <w:rFonts w:ascii="Times New Roman" w:eastAsia="Times New Roman" w:hAnsi="Times New Roman" w:cs="Times New Roman"/>
          <w:color w:val="4B4B4C"/>
          <w:lang w:eastAsia="it-IT"/>
        </w:rPr>
        <w:t xml:space="preserve"> L</w:t>
      </w:r>
      <w:r w:rsidR="00855E03">
        <w:rPr>
          <w:rFonts w:ascii="Times New Roman" w:eastAsia="Times New Roman" w:hAnsi="Times New Roman" w:cs="Times New Roman"/>
          <w:color w:val="4B4B4C"/>
          <w:lang w:eastAsia="it-IT"/>
        </w:rPr>
        <w:t>’</w:t>
      </w:r>
      <w:r w:rsidR="00FA56A4" w:rsidRPr="00501E32">
        <w:rPr>
          <w:rFonts w:ascii="Times New Roman" w:eastAsia="Times New Roman" w:hAnsi="Times New Roman" w:cs="Times New Roman"/>
          <w:color w:val="4B4B4C"/>
          <w:lang w:eastAsia="it-IT"/>
        </w:rPr>
        <w:t>A. specifica che sono «</w:t>
      </w:r>
      <w:r w:rsidR="00FA56A4" w:rsidRPr="00501E32">
        <w:rPr>
          <w:rFonts w:ascii="Times New Roman" w:eastAsia="Times New Roman" w:hAnsi="Times New Roman" w:cs="Times New Roman"/>
          <w:i/>
          <w:iCs/>
          <w:color w:val="4B4B4C"/>
          <w:lang w:eastAsia="it-IT"/>
        </w:rPr>
        <w:t>perlomeno quattro significati che vengono attributi al mercato: il mercato come luogo, il mercato come ideologia, il mercato come paradigma dell</w:t>
      </w:r>
      <w:r w:rsidR="00855E03">
        <w:rPr>
          <w:rFonts w:ascii="Times New Roman" w:eastAsia="Times New Roman" w:hAnsi="Times New Roman" w:cs="Times New Roman"/>
          <w:i/>
          <w:iCs/>
          <w:color w:val="4B4B4C"/>
          <w:lang w:eastAsia="it-IT"/>
        </w:rPr>
        <w:t>’</w:t>
      </w:r>
      <w:r w:rsidR="00FA56A4" w:rsidRPr="00501E32">
        <w:rPr>
          <w:rFonts w:ascii="Times New Roman" w:eastAsia="Times New Roman" w:hAnsi="Times New Roman" w:cs="Times New Roman"/>
          <w:i/>
          <w:iCs/>
          <w:color w:val="4B4B4C"/>
          <w:lang w:eastAsia="it-IT"/>
        </w:rPr>
        <w:t>azione sociale ed il mercato come istituzione. Con la prima accezione si fa riferimento al mercato come luogo fisico entro il quale si svolgono gli scambi; nella seconda accezione il mercato si rivela come uno spazio dell</w:t>
      </w:r>
      <w:r w:rsidR="00855E03">
        <w:rPr>
          <w:rFonts w:ascii="Times New Roman" w:eastAsia="Times New Roman" w:hAnsi="Times New Roman" w:cs="Times New Roman"/>
          <w:i/>
          <w:iCs/>
          <w:color w:val="4B4B4C"/>
          <w:lang w:eastAsia="it-IT"/>
        </w:rPr>
        <w:t>’</w:t>
      </w:r>
      <w:r w:rsidR="00FA56A4" w:rsidRPr="00501E32">
        <w:rPr>
          <w:rFonts w:ascii="Times New Roman" w:eastAsia="Times New Roman" w:hAnsi="Times New Roman" w:cs="Times New Roman"/>
          <w:i/>
          <w:iCs/>
          <w:color w:val="4B4B4C"/>
          <w:lang w:eastAsia="it-IT"/>
        </w:rPr>
        <w:t>agire umano tendenzialmente sottratto all</w:t>
      </w:r>
      <w:r w:rsidR="00855E03">
        <w:rPr>
          <w:rFonts w:ascii="Times New Roman" w:eastAsia="Times New Roman" w:hAnsi="Times New Roman" w:cs="Times New Roman"/>
          <w:i/>
          <w:iCs/>
          <w:color w:val="4B4B4C"/>
          <w:lang w:eastAsia="it-IT"/>
        </w:rPr>
        <w:t>’</w:t>
      </w:r>
      <w:r w:rsidR="00FA56A4" w:rsidRPr="00501E32">
        <w:rPr>
          <w:rFonts w:ascii="Times New Roman" w:eastAsia="Times New Roman" w:hAnsi="Times New Roman" w:cs="Times New Roman"/>
          <w:i/>
          <w:iCs/>
          <w:color w:val="4B4B4C"/>
          <w:lang w:eastAsia="it-IT"/>
        </w:rPr>
        <w:t>ingerenza dello Stato e più in generale dei pubblici poteri; nella terza accezione il mercato sta ad indicare il fatto che l</w:t>
      </w:r>
      <w:r w:rsidR="00855E03">
        <w:rPr>
          <w:rFonts w:ascii="Times New Roman" w:eastAsia="Times New Roman" w:hAnsi="Times New Roman" w:cs="Times New Roman"/>
          <w:i/>
          <w:iCs/>
          <w:color w:val="4B4B4C"/>
          <w:lang w:eastAsia="it-IT"/>
        </w:rPr>
        <w:t>’</w:t>
      </w:r>
      <w:r w:rsidR="00FA56A4" w:rsidRPr="00501E32">
        <w:rPr>
          <w:rFonts w:ascii="Times New Roman" w:eastAsia="Times New Roman" w:hAnsi="Times New Roman" w:cs="Times New Roman"/>
          <w:i/>
          <w:iCs/>
          <w:color w:val="4B4B4C"/>
          <w:lang w:eastAsia="it-IT"/>
        </w:rPr>
        <w:t>agire che in esso si esplica è espressione del principio di razionalità economica ossia è agire volto alla massimizzazione dell</w:t>
      </w:r>
      <w:r w:rsidR="00855E03">
        <w:rPr>
          <w:rFonts w:ascii="Times New Roman" w:eastAsia="Times New Roman" w:hAnsi="Times New Roman" w:cs="Times New Roman"/>
          <w:i/>
          <w:iCs/>
          <w:color w:val="4B4B4C"/>
          <w:lang w:eastAsia="it-IT"/>
        </w:rPr>
        <w:t>’</w:t>
      </w:r>
      <w:r w:rsidR="00FA56A4" w:rsidRPr="00501E32">
        <w:rPr>
          <w:rFonts w:ascii="Times New Roman" w:eastAsia="Times New Roman" w:hAnsi="Times New Roman" w:cs="Times New Roman"/>
          <w:i/>
          <w:iCs/>
          <w:color w:val="4B4B4C"/>
          <w:lang w:eastAsia="it-IT"/>
        </w:rPr>
        <w:t>utilità personale; nella quarta accezione il mercato viene colto nella particolare capacità di produrre un ordine complessivo delle relazioni economiche, che in esso si svolgono, ordine che si genera non a seguito dell</w:t>
      </w:r>
      <w:r w:rsidR="00855E03">
        <w:rPr>
          <w:rFonts w:ascii="Times New Roman" w:eastAsia="Times New Roman" w:hAnsi="Times New Roman" w:cs="Times New Roman"/>
          <w:i/>
          <w:iCs/>
          <w:color w:val="4B4B4C"/>
          <w:lang w:eastAsia="it-IT"/>
        </w:rPr>
        <w:t>’</w:t>
      </w:r>
      <w:r w:rsidR="00FA56A4" w:rsidRPr="00501E32">
        <w:rPr>
          <w:rFonts w:ascii="Times New Roman" w:eastAsia="Times New Roman" w:hAnsi="Times New Roman" w:cs="Times New Roman"/>
          <w:i/>
          <w:iCs/>
          <w:color w:val="4B4B4C"/>
          <w:lang w:eastAsia="it-IT"/>
        </w:rPr>
        <w:t>imposizione di fini vincolanti, al cui raggiungimento debbono tendere i comportamenti di coloro che operano nel mercato stesso, ma a seguito dello svolgimento di azioni autonome, che, ancorché diano luogo ad un vero e proprio sistema di relazioni, rimangono tali anche e soprattutto dal punto di vista finalistico</w:t>
      </w:r>
      <w:r w:rsidR="00FA56A4" w:rsidRPr="00501E32">
        <w:rPr>
          <w:rFonts w:ascii="Times New Roman" w:eastAsia="Times New Roman" w:hAnsi="Times New Roman" w:cs="Times New Roman"/>
          <w:color w:val="4B4B4C"/>
          <w:lang w:eastAsia="it-IT"/>
        </w:rPr>
        <w:t>».</w:t>
      </w:r>
    </w:p>
  </w:footnote>
  <w:footnote w:id="17">
    <w:p w:rsidR="008451F7" w:rsidRPr="00501E32" w:rsidRDefault="008451F7"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La tesi, assai risalente, è alla base delle considerazioni di Fichte, </w:t>
      </w:r>
      <w:proofErr w:type="spellStart"/>
      <w:r w:rsidRPr="00501E32">
        <w:rPr>
          <w:rFonts w:ascii="Times New Roman" w:hAnsi="Times New Roman" w:cs="Times New Roman"/>
          <w:i/>
          <w:iCs/>
        </w:rPr>
        <w:t>Der</w:t>
      </w:r>
      <w:proofErr w:type="spellEnd"/>
      <w:r w:rsidRPr="00501E32">
        <w:rPr>
          <w:rFonts w:ascii="Times New Roman" w:hAnsi="Times New Roman" w:cs="Times New Roman"/>
          <w:i/>
          <w:iCs/>
        </w:rPr>
        <w:t xml:space="preserve"> </w:t>
      </w:r>
      <w:proofErr w:type="spellStart"/>
      <w:r w:rsidRPr="00501E32">
        <w:rPr>
          <w:rFonts w:ascii="Times New Roman" w:hAnsi="Times New Roman" w:cs="Times New Roman"/>
          <w:i/>
          <w:iCs/>
        </w:rPr>
        <w:t>geschlossene</w:t>
      </w:r>
      <w:proofErr w:type="spellEnd"/>
      <w:r w:rsidRPr="00501E32">
        <w:rPr>
          <w:rFonts w:ascii="Times New Roman" w:hAnsi="Times New Roman" w:cs="Times New Roman"/>
          <w:i/>
          <w:iCs/>
        </w:rPr>
        <w:t xml:space="preserve"> </w:t>
      </w:r>
      <w:proofErr w:type="spellStart"/>
      <w:r w:rsidRPr="00501E32">
        <w:rPr>
          <w:rFonts w:ascii="Times New Roman" w:hAnsi="Times New Roman" w:cs="Times New Roman"/>
          <w:i/>
          <w:iCs/>
        </w:rPr>
        <w:t>Handelsstaat</w:t>
      </w:r>
      <w:proofErr w:type="spellEnd"/>
      <w:r w:rsidRPr="00501E32">
        <w:rPr>
          <w:rFonts w:ascii="Times New Roman" w:hAnsi="Times New Roman" w:cs="Times New Roman"/>
        </w:rPr>
        <w:t xml:space="preserve">, Tübingen, 1800 (trad. </w:t>
      </w:r>
      <w:proofErr w:type="spellStart"/>
      <w:r w:rsidRPr="00501E32">
        <w:rPr>
          <w:rFonts w:ascii="Times New Roman" w:hAnsi="Times New Roman" w:cs="Times New Roman"/>
        </w:rPr>
        <w:t>it</w:t>
      </w:r>
      <w:proofErr w:type="spellEnd"/>
      <w:r w:rsidRPr="00501E32">
        <w:rPr>
          <w:rFonts w:ascii="Times New Roman" w:hAnsi="Times New Roman" w:cs="Times New Roman"/>
        </w:rPr>
        <w:t xml:space="preserve">. Fichte, </w:t>
      </w:r>
      <w:r w:rsidRPr="00501E32">
        <w:rPr>
          <w:rFonts w:ascii="Times New Roman" w:hAnsi="Times New Roman" w:cs="Times New Roman"/>
          <w:i/>
          <w:iCs/>
        </w:rPr>
        <w:t>Lo Stato commerciale chiuso</w:t>
      </w:r>
      <w:r w:rsidRPr="00501E32">
        <w:rPr>
          <w:rFonts w:ascii="Times New Roman" w:hAnsi="Times New Roman" w:cs="Times New Roman"/>
        </w:rPr>
        <w:t>, Milano, 2016), secondo cui «</w:t>
      </w:r>
      <w:r w:rsidRPr="00501E32">
        <w:rPr>
          <w:rFonts w:ascii="Times New Roman" w:hAnsi="Times New Roman" w:cs="Times New Roman"/>
          <w:i/>
          <w:iCs/>
        </w:rPr>
        <w:t>gli Stati</w:t>
      </w:r>
      <w:r w:rsidRPr="00501E32">
        <w:rPr>
          <w:rFonts w:ascii="Times New Roman" w:hAnsi="Times New Roman" w:cs="Times New Roman"/>
        </w:rPr>
        <w:t xml:space="preserve"> </w:t>
      </w:r>
      <w:r w:rsidRPr="00501E32">
        <w:rPr>
          <w:rFonts w:ascii="Times New Roman" w:hAnsi="Times New Roman" w:cs="Times New Roman"/>
          <w:i/>
          <w:iCs/>
        </w:rPr>
        <w:t>credono ancora di poter governare i mercati; sono, all</w:t>
      </w:r>
      <w:r w:rsidR="00855E03">
        <w:rPr>
          <w:rFonts w:ascii="Times New Roman" w:hAnsi="Times New Roman" w:cs="Times New Roman"/>
          <w:i/>
          <w:iCs/>
        </w:rPr>
        <w:t>’</w:t>
      </w:r>
      <w:r w:rsidRPr="00501E32">
        <w:rPr>
          <w:rFonts w:ascii="Times New Roman" w:hAnsi="Times New Roman" w:cs="Times New Roman"/>
          <w:i/>
          <w:iCs/>
        </w:rPr>
        <w:t>opposto, i mercati a condizionare la loro politica economica</w:t>
      </w:r>
      <w:r w:rsidRPr="00501E32">
        <w:rPr>
          <w:rFonts w:ascii="Times New Roman" w:hAnsi="Times New Roman" w:cs="Times New Roman"/>
        </w:rPr>
        <w:t>». L</w:t>
      </w:r>
      <w:r w:rsidR="00855E03">
        <w:rPr>
          <w:rFonts w:ascii="Times New Roman" w:hAnsi="Times New Roman" w:cs="Times New Roman"/>
        </w:rPr>
        <w:t>’</w:t>
      </w:r>
      <w:r w:rsidRPr="00501E32">
        <w:rPr>
          <w:rFonts w:ascii="Times New Roman" w:hAnsi="Times New Roman" w:cs="Times New Roman"/>
        </w:rPr>
        <w:t>A., che considera il libero commercio internazionale come un retaggio di un</w:t>
      </w:r>
      <w:r w:rsidR="00855E03">
        <w:rPr>
          <w:rFonts w:ascii="Times New Roman" w:hAnsi="Times New Roman" w:cs="Times New Roman"/>
        </w:rPr>
        <w:t>’</w:t>
      </w:r>
      <w:r w:rsidRPr="00501E32">
        <w:rPr>
          <w:rFonts w:ascii="Times New Roman" w:hAnsi="Times New Roman" w:cs="Times New Roman"/>
        </w:rPr>
        <w:t>epoca passata, in cui non esistevano gli Stati nazionali, propone un modello economico basato su un interventismo statale fortemente protezionista, tanto da vietare ogni commercio con i paesi stranieri; solo in tal modo, lo Stato potrà dettare le proprie regole e non essere sopraffatto dalle logiche naturali dei mercati aperti: «</w:t>
      </w:r>
      <w:r w:rsidRPr="00501E32">
        <w:rPr>
          <w:rFonts w:ascii="Times New Roman" w:hAnsi="Times New Roman" w:cs="Times New Roman"/>
          <w:i/>
          <w:iCs/>
        </w:rPr>
        <w:t>siasi chiuso commercialmente lo Stato, com</w:t>
      </w:r>
      <w:r w:rsidR="00855E03">
        <w:rPr>
          <w:rFonts w:ascii="Times New Roman" w:hAnsi="Times New Roman" w:cs="Times New Roman"/>
          <w:i/>
          <w:iCs/>
        </w:rPr>
        <w:t>’</w:t>
      </w:r>
      <w:r w:rsidRPr="00501E32">
        <w:rPr>
          <w:rFonts w:ascii="Times New Roman" w:hAnsi="Times New Roman" w:cs="Times New Roman"/>
          <w:i/>
          <w:iCs/>
        </w:rPr>
        <w:t>esso è chiuso nella sua legislazione e nei suoi attributi giudiziari</w:t>
      </w:r>
      <w:r w:rsidRPr="00501E32">
        <w:rPr>
          <w:rFonts w:ascii="Times New Roman" w:hAnsi="Times New Roman" w:cs="Times New Roman"/>
        </w:rPr>
        <w:t>».</w:t>
      </w:r>
    </w:p>
    <w:p w:rsidR="0009522A" w:rsidRPr="00501E32" w:rsidRDefault="0009522A" w:rsidP="00501E32">
      <w:pPr>
        <w:pStyle w:val="Testonotaapidipagina"/>
        <w:jc w:val="both"/>
        <w:rPr>
          <w:rFonts w:ascii="Times New Roman" w:hAnsi="Times New Roman" w:cs="Times New Roman"/>
        </w:rPr>
      </w:pPr>
      <w:r w:rsidRPr="00501E32">
        <w:rPr>
          <w:rFonts w:ascii="Times New Roman" w:hAnsi="Times New Roman" w:cs="Times New Roman"/>
        </w:rPr>
        <w:t>Ma, portando alle ulteriori conseguenze quel ragionamento e prendendo atto della impraticabilità dell</w:t>
      </w:r>
      <w:r w:rsidR="00855E03">
        <w:rPr>
          <w:rFonts w:ascii="Times New Roman" w:hAnsi="Times New Roman" w:cs="Times New Roman"/>
        </w:rPr>
        <w:t>’</w:t>
      </w:r>
      <w:r w:rsidRPr="00501E32">
        <w:rPr>
          <w:rFonts w:ascii="Times New Roman" w:hAnsi="Times New Roman" w:cs="Times New Roman"/>
        </w:rPr>
        <w:t>unica via per una regolamentazione normativa del mercato (la chiusura dei confini nazionali e il divieto del commercio estero), si dovrebbe – in conclusione – riconoscere la primazia dell</w:t>
      </w:r>
      <w:r w:rsidR="00855E03">
        <w:rPr>
          <w:rFonts w:ascii="Times New Roman" w:hAnsi="Times New Roman" w:cs="Times New Roman"/>
        </w:rPr>
        <w:t>’</w:t>
      </w:r>
      <w:r w:rsidRPr="00501E32">
        <w:rPr>
          <w:rFonts w:ascii="Times New Roman" w:hAnsi="Times New Roman" w:cs="Times New Roman"/>
        </w:rPr>
        <w:t>economica sul diritto.</w:t>
      </w:r>
    </w:p>
  </w:footnote>
  <w:footnote w:id="18">
    <w:p w:rsidR="008451F7" w:rsidRPr="00501E32" w:rsidRDefault="008451F7"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Restano tuttora decisive le lucide riflessioni di N. Irti, </w:t>
      </w:r>
      <w:r w:rsidRPr="00501E32">
        <w:rPr>
          <w:rFonts w:ascii="Times New Roman" w:hAnsi="Times New Roman" w:cs="Times New Roman"/>
          <w:i/>
          <w:iCs/>
        </w:rPr>
        <w:t>L</w:t>
      </w:r>
      <w:r w:rsidR="00855E03">
        <w:rPr>
          <w:rFonts w:ascii="Times New Roman" w:hAnsi="Times New Roman" w:cs="Times New Roman"/>
          <w:i/>
          <w:iCs/>
        </w:rPr>
        <w:t>’</w:t>
      </w:r>
      <w:r w:rsidRPr="00501E32">
        <w:rPr>
          <w:rFonts w:ascii="Times New Roman" w:hAnsi="Times New Roman" w:cs="Times New Roman"/>
          <w:i/>
          <w:iCs/>
        </w:rPr>
        <w:t>ordine giuridico del mercato</w:t>
      </w:r>
      <w:r w:rsidRPr="00501E32">
        <w:rPr>
          <w:rFonts w:ascii="Times New Roman" w:hAnsi="Times New Roman" w:cs="Times New Roman"/>
        </w:rPr>
        <w:t>, Roma-Bari, con numerose ristampe della prima edizione del 1998; quella consultata è del 2003.</w:t>
      </w:r>
    </w:p>
  </w:footnote>
  <w:footnote w:id="19">
    <w:p w:rsidR="008451F7" w:rsidRPr="00501E32" w:rsidRDefault="008451F7"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Irti, </w:t>
      </w:r>
      <w:proofErr w:type="spellStart"/>
      <w:r w:rsidRPr="00501E32">
        <w:rPr>
          <w:rFonts w:ascii="Times New Roman" w:hAnsi="Times New Roman" w:cs="Times New Roman"/>
          <w:i/>
          <w:iCs/>
        </w:rPr>
        <w:t>loc</w:t>
      </w:r>
      <w:proofErr w:type="spellEnd"/>
      <w:r w:rsidRPr="00501E32">
        <w:rPr>
          <w:rFonts w:ascii="Times New Roman" w:hAnsi="Times New Roman" w:cs="Times New Roman"/>
          <w:i/>
          <w:iCs/>
        </w:rPr>
        <w:t>. cit.</w:t>
      </w:r>
    </w:p>
  </w:footnote>
  <w:footnote w:id="20">
    <w:p w:rsidR="00A844C4" w:rsidRPr="00501E32" w:rsidRDefault="00A844C4"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Con questo nome viene comunemente indicato l</w:t>
      </w:r>
      <w:r w:rsidR="00855E03">
        <w:rPr>
          <w:rFonts w:ascii="Times New Roman" w:hAnsi="Times New Roman" w:cs="Times New Roman"/>
        </w:rPr>
        <w:t>’</w:t>
      </w:r>
      <w:r w:rsidRPr="00501E32">
        <w:rPr>
          <w:rFonts w:ascii="Times New Roman" w:hAnsi="Times New Roman" w:cs="Times New Roman"/>
          <w:i/>
          <w:iCs/>
        </w:rPr>
        <w:t xml:space="preserve">International </w:t>
      </w:r>
      <w:proofErr w:type="spellStart"/>
      <w:r w:rsidRPr="00501E32">
        <w:rPr>
          <w:rFonts w:ascii="Times New Roman" w:hAnsi="Times New Roman" w:cs="Times New Roman"/>
          <w:i/>
          <w:iCs/>
        </w:rPr>
        <w:t>Convergence</w:t>
      </w:r>
      <w:proofErr w:type="spellEnd"/>
      <w:r w:rsidRPr="00501E32">
        <w:rPr>
          <w:rFonts w:ascii="Times New Roman" w:hAnsi="Times New Roman" w:cs="Times New Roman"/>
          <w:i/>
          <w:iCs/>
        </w:rPr>
        <w:t xml:space="preserve"> of Capital </w:t>
      </w:r>
      <w:proofErr w:type="spellStart"/>
      <w:r w:rsidRPr="00501E32">
        <w:rPr>
          <w:rFonts w:ascii="Times New Roman" w:hAnsi="Times New Roman" w:cs="Times New Roman"/>
          <w:i/>
          <w:iCs/>
        </w:rPr>
        <w:t>Measurement</w:t>
      </w:r>
      <w:proofErr w:type="spellEnd"/>
      <w:r w:rsidRPr="00501E32">
        <w:rPr>
          <w:rFonts w:ascii="Times New Roman" w:hAnsi="Times New Roman" w:cs="Times New Roman"/>
          <w:i/>
          <w:iCs/>
        </w:rPr>
        <w:t xml:space="preserve"> and Capital Standards</w:t>
      </w:r>
      <w:r w:rsidRPr="00501E32">
        <w:rPr>
          <w:rFonts w:ascii="Times New Roman" w:hAnsi="Times New Roman" w:cs="Times New Roman"/>
        </w:rPr>
        <w:t xml:space="preserve"> (Nuovo Accordo sui requisiti minimi di capitale) firmato a Basilea nel 2004, maturato nell</w:t>
      </w:r>
      <w:r w:rsidR="00855E03">
        <w:rPr>
          <w:rFonts w:ascii="Times New Roman" w:hAnsi="Times New Roman" w:cs="Times New Roman"/>
        </w:rPr>
        <w:t>’</w:t>
      </w:r>
      <w:r w:rsidRPr="00501E32">
        <w:rPr>
          <w:rFonts w:ascii="Times New Roman" w:hAnsi="Times New Roman" w:cs="Times New Roman"/>
        </w:rPr>
        <w:t xml:space="preserve">ambito del Comitato di Basilea, organizzazione internazionale istituita dai governatori delle Banche centrali dei dieci paesi più industrializzati (attualmente i membri del Comitato provengono da </w:t>
      </w:r>
      <w:r w:rsidR="00C047C6" w:rsidRPr="00501E32">
        <w:rPr>
          <w:rFonts w:ascii="Times New Roman" w:hAnsi="Times New Roman" w:cs="Times New Roman"/>
        </w:rPr>
        <w:t>27</w:t>
      </w:r>
      <w:r w:rsidRPr="00501E32">
        <w:rPr>
          <w:rFonts w:ascii="Times New Roman" w:hAnsi="Times New Roman" w:cs="Times New Roman"/>
        </w:rPr>
        <w:t xml:space="preserve"> paesi).</w:t>
      </w:r>
    </w:p>
    <w:p w:rsidR="006A6E59" w:rsidRPr="00501E32" w:rsidRDefault="006A6E59" w:rsidP="00501E32">
      <w:pPr>
        <w:pStyle w:val="Testonotaapidipagina"/>
        <w:jc w:val="both"/>
        <w:rPr>
          <w:rFonts w:ascii="Times New Roman" w:hAnsi="Times New Roman" w:cs="Times New Roman"/>
        </w:rPr>
      </w:pPr>
      <w:r w:rsidRPr="00501E32">
        <w:rPr>
          <w:rFonts w:ascii="Times New Roman" w:hAnsi="Times New Roman" w:cs="Times New Roman"/>
        </w:rPr>
        <w:t xml:space="preserve">Secondo le disposizioni della BCE, </w:t>
      </w:r>
      <w:r w:rsidRPr="00501E32">
        <w:rPr>
          <w:rFonts w:ascii="Times New Roman" w:hAnsi="Times New Roman" w:cs="Times New Roman"/>
          <w:i/>
          <w:iCs/>
        </w:rPr>
        <w:t>Linee guida per le banche sui crediti deteriorati (NPL)</w:t>
      </w:r>
      <w:r w:rsidRPr="00501E32">
        <w:rPr>
          <w:rFonts w:ascii="Times New Roman" w:hAnsi="Times New Roman" w:cs="Times New Roman"/>
        </w:rPr>
        <w:t xml:space="preserve">, in </w:t>
      </w:r>
      <w:r w:rsidRPr="00501E32">
        <w:rPr>
          <w:rFonts w:ascii="Times New Roman" w:hAnsi="Times New Roman" w:cs="Times New Roman"/>
          <w:i/>
          <w:iCs/>
        </w:rPr>
        <w:t>https://www.bankingsupervision.europa.eu/ecb/pub/pdf/guidance_on_npl.it.pdf</w:t>
      </w:r>
      <w:r w:rsidRPr="00501E32">
        <w:rPr>
          <w:rFonts w:ascii="Times New Roman" w:hAnsi="Times New Roman" w:cs="Times New Roman"/>
        </w:rPr>
        <w:t>, e della Banca d</w:t>
      </w:r>
      <w:r w:rsidR="00855E03">
        <w:rPr>
          <w:rFonts w:ascii="Times New Roman" w:hAnsi="Times New Roman" w:cs="Times New Roman"/>
        </w:rPr>
        <w:t>’</w:t>
      </w:r>
      <w:r w:rsidRPr="00501E32">
        <w:rPr>
          <w:rFonts w:ascii="Times New Roman" w:hAnsi="Times New Roman" w:cs="Times New Roman"/>
        </w:rPr>
        <w:t xml:space="preserve">Italia, </w:t>
      </w:r>
      <w:r w:rsidRPr="00501E32">
        <w:rPr>
          <w:rFonts w:ascii="Times New Roman" w:hAnsi="Times New Roman" w:cs="Times New Roman"/>
          <w:i/>
          <w:iCs/>
        </w:rPr>
        <w:t xml:space="preserve">Linee Guida per le banche </w:t>
      </w:r>
      <w:proofErr w:type="spellStart"/>
      <w:r w:rsidRPr="00501E32">
        <w:rPr>
          <w:rFonts w:ascii="Times New Roman" w:hAnsi="Times New Roman" w:cs="Times New Roman"/>
          <w:i/>
          <w:iCs/>
        </w:rPr>
        <w:t>Less</w:t>
      </w:r>
      <w:proofErr w:type="spellEnd"/>
      <w:r w:rsidRPr="00501E32">
        <w:rPr>
          <w:rFonts w:ascii="Times New Roman" w:hAnsi="Times New Roman" w:cs="Times New Roman"/>
          <w:i/>
          <w:iCs/>
        </w:rPr>
        <w:t xml:space="preserve"> </w:t>
      </w:r>
      <w:proofErr w:type="spellStart"/>
      <w:r w:rsidRPr="00501E32">
        <w:rPr>
          <w:rFonts w:ascii="Times New Roman" w:hAnsi="Times New Roman" w:cs="Times New Roman"/>
          <w:i/>
          <w:iCs/>
        </w:rPr>
        <w:t>Significant</w:t>
      </w:r>
      <w:proofErr w:type="spellEnd"/>
      <w:r w:rsidRPr="00501E32">
        <w:rPr>
          <w:rFonts w:ascii="Times New Roman" w:hAnsi="Times New Roman" w:cs="Times New Roman"/>
          <w:i/>
          <w:iCs/>
        </w:rPr>
        <w:t xml:space="preserve"> italiane in materia di gestione di crediti deteriorati</w:t>
      </w:r>
      <w:r w:rsidRPr="00501E32">
        <w:rPr>
          <w:rFonts w:ascii="Times New Roman" w:hAnsi="Times New Roman" w:cs="Times New Roman"/>
        </w:rPr>
        <w:t xml:space="preserve">, in </w:t>
      </w:r>
      <w:r w:rsidRPr="00501E32">
        <w:rPr>
          <w:rFonts w:ascii="Times New Roman" w:hAnsi="Times New Roman" w:cs="Times New Roman"/>
          <w:i/>
          <w:iCs/>
        </w:rPr>
        <w:t>https://www.bancaditalia.it/compiti/vigilanza/normativa/orientamenti-vigilanza/Linee-Guida-NPL-LSI.pdf</w:t>
      </w:r>
      <w:r w:rsidRPr="00501E32">
        <w:rPr>
          <w:rFonts w:ascii="Times New Roman" w:hAnsi="Times New Roman" w:cs="Times New Roman"/>
        </w:rPr>
        <w:t>, la valutazione del credito deve fare riferimento alle disponibilità finanziarie del debitore, alla capacità corrente e futura prospettica di produrre reddito. Inoltre, deve essere prudentemente valutata la capacità del debitore di assicurare la copertura di tutti i suoi debiti.</w:t>
      </w:r>
    </w:p>
    <w:p w:rsidR="00CB3AF9" w:rsidRPr="00501E32" w:rsidRDefault="00CB3AF9" w:rsidP="00501E32">
      <w:pPr>
        <w:pStyle w:val="Testonotaapidipagina"/>
        <w:jc w:val="both"/>
        <w:rPr>
          <w:rFonts w:ascii="Times New Roman" w:hAnsi="Times New Roman" w:cs="Times New Roman"/>
        </w:rPr>
      </w:pPr>
      <w:r w:rsidRPr="00501E32">
        <w:rPr>
          <w:rFonts w:ascii="Times New Roman" w:hAnsi="Times New Roman" w:cs="Times New Roman"/>
        </w:rPr>
        <w:t xml:space="preserve">Sul punto si veda anche </w:t>
      </w:r>
      <w:proofErr w:type="spellStart"/>
      <w:r w:rsidRPr="00501E32">
        <w:rPr>
          <w:rFonts w:ascii="Times New Roman" w:hAnsi="Times New Roman" w:cs="Times New Roman"/>
        </w:rPr>
        <w:t>Leuzzi</w:t>
      </w:r>
      <w:proofErr w:type="spellEnd"/>
      <w:r w:rsidRPr="00501E32">
        <w:rPr>
          <w:rFonts w:ascii="Times New Roman" w:hAnsi="Times New Roman" w:cs="Times New Roman"/>
        </w:rPr>
        <w:t xml:space="preserve">, </w:t>
      </w:r>
      <w:r w:rsidRPr="00501E32">
        <w:rPr>
          <w:rFonts w:ascii="Times New Roman" w:hAnsi="Times New Roman" w:cs="Times New Roman"/>
          <w:i/>
          <w:iCs/>
        </w:rPr>
        <w:t xml:space="preserve">Considerazioni sui non </w:t>
      </w:r>
      <w:proofErr w:type="spellStart"/>
      <w:r w:rsidRPr="00501E32">
        <w:rPr>
          <w:rFonts w:ascii="Times New Roman" w:hAnsi="Times New Roman" w:cs="Times New Roman"/>
          <w:i/>
          <w:iCs/>
        </w:rPr>
        <w:t>performing</w:t>
      </w:r>
      <w:proofErr w:type="spellEnd"/>
      <w:r w:rsidRPr="00501E32">
        <w:rPr>
          <w:rFonts w:ascii="Times New Roman" w:hAnsi="Times New Roman" w:cs="Times New Roman"/>
          <w:i/>
          <w:iCs/>
        </w:rPr>
        <w:t xml:space="preserve"> </w:t>
      </w:r>
      <w:proofErr w:type="spellStart"/>
      <w:r w:rsidRPr="00501E32">
        <w:rPr>
          <w:rFonts w:ascii="Times New Roman" w:hAnsi="Times New Roman" w:cs="Times New Roman"/>
          <w:i/>
          <w:iCs/>
        </w:rPr>
        <w:t>loans</w:t>
      </w:r>
      <w:proofErr w:type="spellEnd"/>
      <w:r w:rsidRPr="00501E32">
        <w:rPr>
          <w:rFonts w:ascii="Times New Roman" w:hAnsi="Times New Roman" w:cs="Times New Roman"/>
        </w:rPr>
        <w:t xml:space="preserve">, in </w:t>
      </w:r>
      <w:r w:rsidRPr="00501E32">
        <w:rPr>
          <w:rFonts w:ascii="Times New Roman" w:hAnsi="Times New Roman" w:cs="Times New Roman"/>
          <w:i/>
          <w:iCs/>
        </w:rPr>
        <w:t>https://www.inexecutivis.it/approfondimenti/2018/03/considerazioni-sui-non-performing-loans/</w:t>
      </w:r>
    </w:p>
  </w:footnote>
  <w:footnote w:id="21">
    <w:p w:rsidR="00A51068" w:rsidRPr="00501E32" w:rsidRDefault="00A51068"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CB3AF9" w:rsidRPr="00501E32">
        <w:rPr>
          <w:rFonts w:ascii="Times New Roman" w:hAnsi="Times New Roman" w:cs="Times New Roman"/>
        </w:rPr>
        <w:t xml:space="preserve">Nel settore bancario la valutazione del rischio di insolvenza porta alla suddivisione dei crediti in differenti categorie: i crediti </w:t>
      </w:r>
      <w:r w:rsidR="00CB3AF9" w:rsidRPr="00501E32">
        <w:rPr>
          <w:rFonts w:ascii="Times New Roman" w:hAnsi="Times New Roman" w:cs="Times New Roman"/>
          <w:i/>
          <w:iCs/>
        </w:rPr>
        <w:t>in bonis</w:t>
      </w:r>
      <w:r w:rsidR="00CB3AF9" w:rsidRPr="00501E32">
        <w:rPr>
          <w:rFonts w:ascii="Times New Roman" w:hAnsi="Times New Roman" w:cs="Times New Roman"/>
        </w:rPr>
        <w:t>, quelli scaduti o sconfinati, i crediti a sofferenza (UTP) e quelli in sofferenza (NPL), a seconda che l</w:t>
      </w:r>
      <w:r w:rsidR="00855E03">
        <w:rPr>
          <w:rFonts w:ascii="Times New Roman" w:hAnsi="Times New Roman" w:cs="Times New Roman"/>
        </w:rPr>
        <w:t>’</w:t>
      </w:r>
      <w:r w:rsidR="00CB3AF9" w:rsidRPr="00501E32">
        <w:rPr>
          <w:rFonts w:ascii="Times New Roman" w:hAnsi="Times New Roman" w:cs="Times New Roman"/>
        </w:rPr>
        <w:t>inadempimento non sia stato ancora rilevato o sia atteso o si sia già verificato. La diversa rischiosità espressa da ciascuna di queste categorie di crediti deve essere necessariamente assorbita da adeguati accantonamenti di bilancio destinati a coprire le perdite già verificatesi e quelle prospetticamente previste.</w:t>
      </w:r>
    </w:p>
  </w:footnote>
  <w:footnote w:id="22">
    <w:p w:rsidR="003E3FE9" w:rsidRPr="00501E32" w:rsidRDefault="003E3FE9"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Sulla rilevanza dello scopo pratico dell</w:t>
      </w:r>
      <w:r w:rsidR="00855E03">
        <w:rPr>
          <w:rFonts w:ascii="Times New Roman" w:hAnsi="Times New Roman" w:cs="Times New Roman"/>
        </w:rPr>
        <w:t>’</w:t>
      </w:r>
      <w:r w:rsidRPr="00501E32">
        <w:rPr>
          <w:rFonts w:ascii="Times New Roman" w:hAnsi="Times New Roman" w:cs="Times New Roman"/>
        </w:rPr>
        <w:t>operazione si veda oltre, par. 4.</w:t>
      </w:r>
    </w:p>
  </w:footnote>
  <w:footnote w:id="23">
    <w:p w:rsidR="00610965" w:rsidRPr="00501E32" w:rsidRDefault="00610965" w:rsidP="00501E32">
      <w:pPr>
        <w:jc w:val="both"/>
        <w:rPr>
          <w:rFonts w:ascii="Times New Roman" w:hAnsi="Times New Roman" w:cs="Times New Roman"/>
          <w:sz w:val="20"/>
          <w:szCs w:val="20"/>
        </w:rPr>
      </w:pPr>
      <w:r w:rsidRPr="00501E32">
        <w:rPr>
          <w:rStyle w:val="Rimandonotaapidipagina"/>
          <w:rFonts w:ascii="Times New Roman" w:hAnsi="Times New Roman" w:cs="Times New Roman"/>
          <w:sz w:val="20"/>
          <w:szCs w:val="20"/>
        </w:rPr>
        <w:footnoteRef/>
      </w:r>
      <w:r w:rsidRPr="00501E32">
        <w:rPr>
          <w:rFonts w:ascii="Times New Roman" w:hAnsi="Times New Roman" w:cs="Times New Roman"/>
          <w:sz w:val="20"/>
          <w:szCs w:val="20"/>
        </w:rPr>
        <w:t xml:space="preserve"> Nel 2017 la Corte di cassazione, modificando un proprio precedente orientamento, ritenne che l</w:t>
      </w:r>
      <w:r w:rsidR="00855E03">
        <w:rPr>
          <w:rFonts w:ascii="Times New Roman" w:hAnsi="Times New Roman" w:cs="Times New Roman"/>
          <w:sz w:val="20"/>
          <w:szCs w:val="20"/>
        </w:rPr>
        <w:t>’</w:t>
      </w:r>
      <w:r w:rsidRPr="00501E32">
        <w:rPr>
          <w:rFonts w:ascii="Times New Roman" w:hAnsi="Times New Roman" w:cs="Times New Roman"/>
          <w:sz w:val="20"/>
          <w:szCs w:val="20"/>
        </w:rPr>
        <w:t xml:space="preserve">osservanza della soglia di finanziabilità costituisse elemento essenziale del mutuo fondiario, talché il suo mancato rispetto ne avrebbe determinato la nullità (Cass. 13 luglio 2017, n. 17352, pubblicata su numerose riviste, fra cui: </w:t>
      </w:r>
      <w:r w:rsidRPr="00501E32">
        <w:rPr>
          <w:rFonts w:ascii="Times New Roman" w:hAnsi="Times New Roman" w:cs="Times New Roman"/>
          <w:i/>
          <w:iCs/>
          <w:sz w:val="20"/>
          <w:szCs w:val="20"/>
        </w:rPr>
        <w:t>Il fallimento</w:t>
      </w:r>
      <w:r w:rsidRPr="00501E32">
        <w:rPr>
          <w:rFonts w:ascii="Times New Roman" w:hAnsi="Times New Roman" w:cs="Times New Roman"/>
          <w:sz w:val="20"/>
          <w:szCs w:val="20"/>
        </w:rPr>
        <w:t xml:space="preserve">, 2017, p. 1274, con nota di Tarzia, </w:t>
      </w:r>
      <w:r w:rsidRPr="00501E32">
        <w:rPr>
          <w:rFonts w:ascii="Times New Roman" w:hAnsi="Times New Roman" w:cs="Times New Roman"/>
          <w:i/>
          <w:iCs/>
          <w:sz w:val="20"/>
          <w:szCs w:val="20"/>
        </w:rPr>
        <w:t>La Cassazione modifica il suo orientamento sulla validità dei finanziamenti fondiari eccedenti il c.d. limite di finanziabilità</w:t>
      </w:r>
      <w:r w:rsidRPr="00501E32">
        <w:rPr>
          <w:rFonts w:ascii="Times New Roman" w:hAnsi="Times New Roman" w:cs="Times New Roman"/>
          <w:sz w:val="20"/>
          <w:szCs w:val="20"/>
        </w:rPr>
        <w:t xml:space="preserve">; </w:t>
      </w:r>
      <w:r w:rsidRPr="00501E32">
        <w:rPr>
          <w:rFonts w:ascii="Times New Roman" w:hAnsi="Times New Roman" w:cs="Times New Roman"/>
          <w:i/>
          <w:iCs/>
          <w:sz w:val="20"/>
          <w:szCs w:val="20"/>
        </w:rPr>
        <w:t>Giurisprudenza commerciale</w:t>
      </w:r>
      <w:r w:rsidRPr="00501E32">
        <w:rPr>
          <w:rFonts w:ascii="Times New Roman" w:hAnsi="Times New Roman" w:cs="Times New Roman"/>
          <w:sz w:val="20"/>
          <w:szCs w:val="20"/>
        </w:rPr>
        <w:t xml:space="preserve">, 2018, 2, p. 951, con nota di </w:t>
      </w:r>
      <w:proofErr w:type="spellStart"/>
      <w:r w:rsidRPr="00501E32">
        <w:rPr>
          <w:rFonts w:ascii="Times New Roman" w:hAnsi="Times New Roman" w:cs="Times New Roman"/>
          <w:sz w:val="20"/>
          <w:szCs w:val="20"/>
        </w:rPr>
        <w:t>Partisani</w:t>
      </w:r>
      <w:proofErr w:type="spellEnd"/>
      <w:r w:rsidRPr="00501E32">
        <w:rPr>
          <w:rFonts w:ascii="Times New Roman" w:hAnsi="Times New Roman" w:cs="Times New Roman"/>
          <w:sz w:val="20"/>
          <w:szCs w:val="20"/>
        </w:rPr>
        <w:t xml:space="preserve">, </w:t>
      </w:r>
      <w:r w:rsidRPr="00501E32">
        <w:rPr>
          <w:rFonts w:ascii="Times New Roman" w:hAnsi="Times New Roman" w:cs="Times New Roman"/>
          <w:i/>
          <w:iCs/>
          <w:sz w:val="20"/>
          <w:szCs w:val="20"/>
        </w:rPr>
        <w:t>La nullità (virtuale) del mutuo fondiario eccedente il limite di finanziabilità</w:t>
      </w:r>
      <w:r w:rsidRPr="00501E32">
        <w:rPr>
          <w:rFonts w:ascii="Times New Roman" w:hAnsi="Times New Roman" w:cs="Times New Roman"/>
          <w:sz w:val="20"/>
          <w:szCs w:val="20"/>
        </w:rPr>
        <w:t xml:space="preserve">; </w:t>
      </w:r>
      <w:r w:rsidRPr="00501E32">
        <w:rPr>
          <w:rFonts w:ascii="Times New Roman" w:hAnsi="Times New Roman" w:cs="Times New Roman"/>
          <w:i/>
          <w:iCs/>
          <w:sz w:val="20"/>
          <w:szCs w:val="20"/>
        </w:rPr>
        <w:t>Notariato</w:t>
      </w:r>
      <w:r w:rsidRPr="00501E32">
        <w:rPr>
          <w:rFonts w:ascii="Times New Roman" w:hAnsi="Times New Roman" w:cs="Times New Roman"/>
          <w:sz w:val="20"/>
          <w:szCs w:val="20"/>
        </w:rPr>
        <w:t xml:space="preserve">, 2018, p. 193, con nota di Migliorati, </w:t>
      </w:r>
      <w:r w:rsidRPr="00501E32">
        <w:rPr>
          <w:rFonts w:ascii="Times New Roman" w:hAnsi="Times New Roman" w:cs="Times New Roman"/>
          <w:i/>
          <w:iCs/>
          <w:sz w:val="20"/>
          <w:szCs w:val="20"/>
        </w:rPr>
        <w:t>Mutuo fondiario: la rilevanza costituzionale del limite di finanziabilità</w:t>
      </w:r>
      <w:r w:rsidRPr="00501E32">
        <w:rPr>
          <w:rFonts w:ascii="Times New Roman" w:hAnsi="Times New Roman" w:cs="Times New Roman"/>
          <w:sz w:val="20"/>
          <w:szCs w:val="20"/>
        </w:rPr>
        <w:t xml:space="preserve">; I contratti, 2018, p. 169, con nota di Farina, </w:t>
      </w:r>
      <w:r w:rsidRPr="00501E32">
        <w:rPr>
          <w:rFonts w:ascii="Times New Roman" w:hAnsi="Times New Roman" w:cs="Times New Roman"/>
          <w:i/>
          <w:iCs/>
          <w:sz w:val="20"/>
          <w:szCs w:val="20"/>
        </w:rPr>
        <w:t>Attività creditizia e violazione dell</w:t>
      </w:r>
      <w:r w:rsidR="00855E03">
        <w:rPr>
          <w:rFonts w:ascii="Times New Roman" w:hAnsi="Times New Roman" w:cs="Times New Roman"/>
          <w:i/>
          <w:iCs/>
          <w:sz w:val="20"/>
          <w:szCs w:val="20"/>
        </w:rPr>
        <w:t>’</w:t>
      </w:r>
      <w:r w:rsidRPr="00501E32">
        <w:rPr>
          <w:rFonts w:ascii="Times New Roman" w:hAnsi="Times New Roman" w:cs="Times New Roman"/>
          <w:i/>
          <w:iCs/>
          <w:sz w:val="20"/>
          <w:szCs w:val="20"/>
        </w:rPr>
        <w:t>art. 38, comma 2, T.U.B.</w:t>
      </w:r>
      <w:r w:rsidRPr="00501E32">
        <w:rPr>
          <w:rFonts w:ascii="Times New Roman" w:hAnsi="Times New Roman" w:cs="Times New Roman"/>
          <w:sz w:val="20"/>
          <w:szCs w:val="20"/>
        </w:rPr>
        <w:t xml:space="preserve">; </w:t>
      </w:r>
      <w:r w:rsidRPr="00501E32">
        <w:rPr>
          <w:rFonts w:ascii="Times New Roman" w:hAnsi="Times New Roman" w:cs="Times New Roman"/>
          <w:i/>
          <w:iCs/>
          <w:sz w:val="20"/>
          <w:szCs w:val="20"/>
        </w:rPr>
        <w:t>La nuova giurisprudenza civile commentata</w:t>
      </w:r>
      <w:r w:rsidRPr="00501E32">
        <w:rPr>
          <w:rFonts w:ascii="Times New Roman" w:hAnsi="Times New Roman" w:cs="Times New Roman"/>
          <w:sz w:val="20"/>
          <w:szCs w:val="20"/>
        </w:rPr>
        <w:t xml:space="preserve">, 2018, p. 21, con nota di </w:t>
      </w:r>
      <w:proofErr w:type="spellStart"/>
      <w:r w:rsidRPr="00501E32">
        <w:rPr>
          <w:rFonts w:ascii="Times New Roman" w:hAnsi="Times New Roman" w:cs="Times New Roman"/>
          <w:sz w:val="20"/>
          <w:szCs w:val="20"/>
        </w:rPr>
        <w:t>Puhali</w:t>
      </w:r>
      <w:proofErr w:type="spellEnd"/>
      <w:r w:rsidRPr="00501E32">
        <w:rPr>
          <w:rFonts w:ascii="Times New Roman" w:hAnsi="Times New Roman" w:cs="Times New Roman"/>
          <w:sz w:val="20"/>
          <w:szCs w:val="20"/>
        </w:rPr>
        <w:t xml:space="preserve">, </w:t>
      </w:r>
      <w:r w:rsidRPr="00501E32">
        <w:rPr>
          <w:rFonts w:ascii="Times New Roman" w:hAnsi="Times New Roman" w:cs="Times New Roman"/>
          <w:i/>
          <w:iCs/>
          <w:sz w:val="20"/>
          <w:szCs w:val="20"/>
        </w:rPr>
        <w:t>La Cassazione ci ripensa: nullo il mutuo fondiario oltre il limite di finanziabilità</w:t>
      </w:r>
      <w:r w:rsidR="003E3FE9" w:rsidRPr="00501E32">
        <w:rPr>
          <w:rFonts w:ascii="Times New Roman" w:hAnsi="Times New Roman" w:cs="Times New Roman"/>
          <w:sz w:val="20"/>
          <w:szCs w:val="20"/>
        </w:rPr>
        <w:t>).</w:t>
      </w:r>
    </w:p>
    <w:p w:rsidR="00610965" w:rsidRPr="00501E32" w:rsidRDefault="00610965" w:rsidP="00501E32">
      <w:pPr>
        <w:jc w:val="both"/>
        <w:rPr>
          <w:rFonts w:ascii="Times New Roman" w:hAnsi="Times New Roman" w:cs="Times New Roman"/>
          <w:sz w:val="20"/>
          <w:szCs w:val="20"/>
        </w:rPr>
      </w:pPr>
      <w:r w:rsidRPr="00501E32">
        <w:rPr>
          <w:rFonts w:ascii="Times New Roman" w:hAnsi="Times New Roman" w:cs="Times New Roman"/>
          <w:sz w:val="20"/>
          <w:szCs w:val="20"/>
        </w:rPr>
        <w:t xml:space="preserve">Tale orientamento – ribadito da Cass. 31 luglio 2017, n. 19016, in </w:t>
      </w:r>
      <w:r w:rsidRPr="00501E32">
        <w:rPr>
          <w:rFonts w:ascii="Times New Roman" w:hAnsi="Times New Roman" w:cs="Times New Roman"/>
          <w:i/>
          <w:iCs/>
          <w:sz w:val="20"/>
          <w:szCs w:val="20"/>
        </w:rPr>
        <w:t>Il corriere giuridico</w:t>
      </w:r>
      <w:r w:rsidRPr="00501E32">
        <w:rPr>
          <w:rFonts w:ascii="Times New Roman" w:hAnsi="Times New Roman" w:cs="Times New Roman"/>
          <w:sz w:val="20"/>
          <w:szCs w:val="20"/>
        </w:rPr>
        <w:t xml:space="preserve">, 2018, p. 161, con nota di Piazza, </w:t>
      </w:r>
      <w:r w:rsidRPr="00501E32">
        <w:rPr>
          <w:rFonts w:ascii="Times New Roman" w:hAnsi="Times New Roman" w:cs="Times New Roman"/>
          <w:i/>
          <w:iCs/>
          <w:sz w:val="20"/>
          <w:szCs w:val="20"/>
        </w:rPr>
        <w:t>Ancora sul superamento del limite di finanziabilità nel credito fondiario</w:t>
      </w:r>
      <w:r w:rsidRPr="00501E32">
        <w:rPr>
          <w:rFonts w:ascii="Times New Roman" w:hAnsi="Times New Roman" w:cs="Times New Roman"/>
          <w:sz w:val="20"/>
          <w:szCs w:val="20"/>
        </w:rPr>
        <w:t xml:space="preserve">; e poi richiamato da Cass. 28 maggio 2018, n. 13286 e Cass. 24 settembre 2018, n. 22466 – venne contraddetto da Cass. 28 giugno 2019, n. 17439, in </w:t>
      </w:r>
      <w:r w:rsidRPr="00501E32">
        <w:rPr>
          <w:rFonts w:ascii="Times New Roman" w:hAnsi="Times New Roman" w:cs="Times New Roman"/>
          <w:i/>
          <w:iCs/>
          <w:sz w:val="20"/>
          <w:szCs w:val="20"/>
        </w:rPr>
        <w:t>https://inexecutivis.it/massime-giurisprudenziali/cassazione/2020/il-superamento-del-limite-di-finanziabilita-del-mutuo-fondiario-determina-la-perdita-dei-relativi-privilegi-processuali/</w:t>
      </w:r>
      <w:r w:rsidRPr="00501E32">
        <w:rPr>
          <w:rFonts w:ascii="Times New Roman" w:hAnsi="Times New Roman" w:cs="Times New Roman"/>
          <w:sz w:val="20"/>
          <w:szCs w:val="20"/>
        </w:rPr>
        <w:t>, secondo cui il superamento del limite di finanziabilità previsto dall</w:t>
      </w:r>
      <w:r w:rsidR="00855E03">
        <w:rPr>
          <w:rFonts w:ascii="Times New Roman" w:hAnsi="Times New Roman" w:cs="Times New Roman"/>
          <w:sz w:val="20"/>
          <w:szCs w:val="20"/>
        </w:rPr>
        <w:t>’</w:t>
      </w:r>
      <w:r w:rsidRPr="00501E32">
        <w:rPr>
          <w:rFonts w:ascii="Times New Roman" w:hAnsi="Times New Roman" w:cs="Times New Roman"/>
          <w:sz w:val="20"/>
          <w:szCs w:val="20"/>
        </w:rPr>
        <w:t>art. 38, comma 2, del d.lgs. n. 385 del 1993, non è d</w:t>
      </w:r>
      <w:r w:rsidR="00855E03">
        <w:rPr>
          <w:rFonts w:ascii="Times New Roman" w:hAnsi="Times New Roman" w:cs="Times New Roman"/>
          <w:sz w:val="20"/>
          <w:szCs w:val="20"/>
        </w:rPr>
        <w:t>’</w:t>
      </w:r>
      <w:r w:rsidRPr="00501E32">
        <w:rPr>
          <w:rFonts w:ascii="Times New Roman" w:hAnsi="Times New Roman" w:cs="Times New Roman"/>
          <w:sz w:val="20"/>
          <w:szCs w:val="20"/>
        </w:rPr>
        <w:t xml:space="preserve">ostacolo alla conversione </w:t>
      </w:r>
      <w:r w:rsidRPr="00501E32">
        <w:rPr>
          <w:rFonts w:ascii="Times New Roman" w:hAnsi="Times New Roman" w:cs="Times New Roman"/>
          <w:i/>
          <w:iCs/>
          <w:sz w:val="20"/>
          <w:szCs w:val="20"/>
        </w:rPr>
        <w:t>ex</w:t>
      </w:r>
      <w:r w:rsidRPr="00501E32">
        <w:rPr>
          <w:rFonts w:ascii="Times New Roman" w:hAnsi="Times New Roman" w:cs="Times New Roman"/>
          <w:sz w:val="20"/>
          <w:szCs w:val="20"/>
        </w:rPr>
        <w:t xml:space="preserve"> art. 1424 c.c. del contratto nullo, ovvero alla sua riqualificazione come mutuo ordinario, con conseguente disapplicazione della disciplina specifica del mutuo fondiario.</w:t>
      </w:r>
    </w:p>
    <w:p w:rsidR="00610965" w:rsidRPr="00501E32" w:rsidRDefault="00610965" w:rsidP="00501E32">
      <w:pPr>
        <w:jc w:val="both"/>
        <w:rPr>
          <w:rFonts w:ascii="Times New Roman" w:hAnsi="Times New Roman" w:cs="Times New Roman"/>
          <w:sz w:val="20"/>
          <w:szCs w:val="20"/>
        </w:rPr>
      </w:pPr>
      <w:r w:rsidRPr="00501E32">
        <w:rPr>
          <w:rFonts w:ascii="Times New Roman" w:hAnsi="Times New Roman" w:cs="Times New Roman"/>
          <w:sz w:val="20"/>
          <w:szCs w:val="20"/>
        </w:rPr>
        <w:t xml:space="preserve">Il conflitto è stato, infine, composto da Cass. Sez. Un. 16 novembre 2022, n. 33719 (in </w:t>
      </w:r>
      <w:r w:rsidRPr="00501E32">
        <w:rPr>
          <w:rFonts w:ascii="Times New Roman" w:hAnsi="Times New Roman" w:cs="Times New Roman"/>
          <w:i/>
          <w:iCs/>
          <w:sz w:val="20"/>
          <w:szCs w:val="20"/>
        </w:rPr>
        <w:t>Foro italiano</w:t>
      </w:r>
      <w:r w:rsidRPr="00501E32">
        <w:rPr>
          <w:rFonts w:ascii="Times New Roman" w:hAnsi="Times New Roman" w:cs="Times New Roman"/>
          <w:sz w:val="20"/>
          <w:szCs w:val="20"/>
        </w:rPr>
        <w:t xml:space="preserve">, 2023, 1, p. 189, con nota di Ardone, </w:t>
      </w:r>
      <w:r w:rsidRPr="00501E32">
        <w:rPr>
          <w:rFonts w:ascii="Times New Roman" w:hAnsi="Times New Roman" w:cs="Times New Roman"/>
          <w:i/>
          <w:iCs/>
          <w:sz w:val="20"/>
          <w:szCs w:val="20"/>
        </w:rPr>
        <w:t>Il mutuo fondiario eccedentario non è nullo perché l</w:t>
      </w:r>
      <w:r w:rsidR="00855E03">
        <w:rPr>
          <w:rFonts w:ascii="Times New Roman" w:hAnsi="Times New Roman" w:cs="Times New Roman"/>
          <w:i/>
          <w:iCs/>
          <w:sz w:val="20"/>
          <w:szCs w:val="20"/>
        </w:rPr>
        <w:t>’</w:t>
      </w:r>
      <w:r w:rsidRPr="00501E32">
        <w:rPr>
          <w:rFonts w:ascii="Times New Roman" w:hAnsi="Times New Roman" w:cs="Times New Roman"/>
          <w:i/>
          <w:iCs/>
          <w:sz w:val="20"/>
          <w:szCs w:val="20"/>
        </w:rPr>
        <w:t xml:space="preserve">art. 38 </w:t>
      </w:r>
      <w:proofErr w:type="spellStart"/>
      <w:r w:rsidRPr="00501E32">
        <w:rPr>
          <w:rFonts w:ascii="Times New Roman" w:hAnsi="Times New Roman" w:cs="Times New Roman"/>
          <w:i/>
          <w:iCs/>
          <w:sz w:val="20"/>
          <w:szCs w:val="20"/>
        </w:rPr>
        <w:t>t.u.b</w:t>
      </w:r>
      <w:proofErr w:type="spellEnd"/>
      <w:r w:rsidRPr="00501E32">
        <w:rPr>
          <w:rFonts w:ascii="Times New Roman" w:hAnsi="Times New Roman" w:cs="Times New Roman"/>
          <w:i/>
          <w:iCs/>
          <w:sz w:val="20"/>
          <w:szCs w:val="20"/>
        </w:rPr>
        <w:t>. non è norma imperativa (e, forse, non è neanche una norma giuridica)</w:t>
      </w:r>
      <w:r w:rsidRPr="00501E32">
        <w:rPr>
          <w:rFonts w:ascii="Times New Roman" w:hAnsi="Times New Roman" w:cs="Times New Roman"/>
          <w:sz w:val="20"/>
          <w:szCs w:val="20"/>
        </w:rPr>
        <w:t xml:space="preserve">; e in </w:t>
      </w:r>
      <w:r w:rsidRPr="00501E32">
        <w:rPr>
          <w:rFonts w:ascii="Times New Roman" w:hAnsi="Times New Roman" w:cs="Times New Roman"/>
          <w:i/>
          <w:iCs/>
          <w:sz w:val="20"/>
          <w:szCs w:val="20"/>
        </w:rPr>
        <w:t>https://inexecutivis.it/massime-giurisprudenziali/cassazione-ssuu/mutuo-fondiario-il-superamento-della-soglia-di-finanziabilita-non-invalida-il-contratto-e-non-consente-la-sua-riqualificazione-in-mutuo-ordinario</w:t>
      </w:r>
      <w:r w:rsidRPr="00501E32">
        <w:rPr>
          <w:rFonts w:ascii="Times New Roman" w:hAnsi="Times New Roman" w:cs="Times New Roman"/>
          <w:sz w:val="20"/>
          <w:szCs w:val="20"/>
        </w:rPr>
        <w:t xml:space="preserve">/ con nota di </w:t>
      </w:r>
      <w:proofErr w:type="spellStart"/>
      <w:r w:rsidRPr="00501E32">
        <w:rPr>
          <w:rFonts w:ascii="Times New Roman" w:hAnsi="Times New Roman" w:cs="Times New Roman"/>
          <w:sz w:val="20"/>
          <w:szCs w:val="20"/>
        </w:rPr>
        <w:t>Morlini</w:t>
      </w:r>
      <w:proofErr w:type="spellEnd"/>
      <w:r w:rsidRPr="00501E32">
        <w:rPr>
          <w:rFonts w:ascii="Times New Roman" w:hAnsi="Times New Roman" w:cs="Times New Roman"/>
          <w:sz w:val="20"/>
          <w:szCs w:val="20"/>
        </w:rPr>
        <w:t xml:space="preserve">, </w:t>
      </w:r>
      <w:r w:rsidRPr="00501E32">
        <w:rPr>
          <w:rFonts w:ascii="Times New Roman" w:hAnsi="Times New Roman" w:cs="Times New Roman"/>
          <w:i/>
          <w:iCs/>
          <w:sz w:val="20"/>
          <w:szCs w:val="20"/>
        </w:rPr>
        <w:t xml:space="preserve">Le sezioni unite risolvono il conflitto giurisprudenziale: Il mutuo fondiario </w:t>
      </w:r>
      <w:proofErr w:type="spellStart"/>
      <w:r w:rsidRPr="00501E32">
        <w:rPr>
          <w:rFonts w:ascii="Times New Roman" w:hAnsi="Times New Roman" w:cs="Times New Roman"/>
          <w:i/>
          <w:iCs/>
          <w:sz w:val="20"/>
          <w:szCs w:val="20"/>
        </w:rPr>
        <w:t>sovrafinanziato</w:t>
      </w:r>
      <w:proofErr w:type="spellEnd"/>
      <w:r w:rsidRPr="00501E32">
        <w:rPr>
          <w:rFonts w:ascii="Times New Roman" w:hAnsi="Times New Roman" w:cs="Times New Roman"/>
          <w:i/>
          <w:iCs/>
          <w:sz w:val="20"/>
          <w:szCs w:val="20"/>
        </w:rPr>
        <w:t xml:space="preserve"> non è nullo e non deve essere riqualificato in mutuo ordinario</w:t>
      </w:r>
      <w:r w:rsidRPr="00501E32">
        <w:rPr>
          <w:rFonts w:ascii="Times New Roman" w:hAnsi="Times New Roman" w:cs="Times New Roman"/>
          <w:sz w:val="20"/>
          <w:szCs w:val="20"/>
        </w:rPr>
        <w:t xml:space="preserve">), che ha chiarito che il limite di finanziabilità </w:t>
      </w:r>
      <w:r w:rsidRPr="00501E32">
        <w:rPr>
          <w:rFonts w:ascii="Times New Roman" w:hAnsi="Times New Roman" w:cs="Times New Roman"/>
          <w:i/>
          <w:iCs/>
          <w:sz w:val="20"/>
          <w:szCs w:val="20"/>
        </w:rPr>
        <w:t>ex</w:t>
      </w:r>
      <w:r w:rsidRPr="00501E32">
        <w:rPr>
          <w:rFonts w:ascii="Times New Roman" w:hAnsi="Times New Roman" w:cs="Times New Roman"/>
          <w:sz w:val="20"/>
          <w:szCs w:val="20"/>
        </w:rPr>
        <w:t xml:space="preserve"> art. 38, comma 2, del d.lgs. n. 385 del 1993, non costituisce un elemento essenziale del contenuto del contratto di mutuo fondiario, non essendo la predetta norma determinativa del contenuto medesimo, né posta a presidio della validità del negozio, bensì un elemento meramente specificativo o integrativo dell</w:t>
      </w:r>
      <w:r w:rsidR="00855E03">
        <w:rPr>
          <w:rFonts w:ascii="Times New Roman" w:hAnsi="Times New Roman" w:cs="Times New Roman"/>
          <w:sz w:val="20"/>
          <w:szCs w:val="20"/>
        </w:rPr>
        <w:t>’</w:t>
      </w:r>
      <w:r w:rsidRPr="00501E32">
        <w:rPr>
          <w:rFonts w:ascii="Times New Roman" w:hAnsi="Times New Roman" w:cs="Times New Roman"/>
          <w:sz w:val="20"/>
          <w:szCs w:val="20"/>
        </w:rPr>
        <w:t>oggetto contrattuale, fissato dall</w:t>
      </w:r>
      <w:r w:rsidR="00855E03">
        <w:rPr>
          <w:rFonts w:ascii="Times New Roman" w:hAnsi="Times New Roman" w:cs="Times New Roman"/>
          <w:sz w:val="20"/>
          <w:szCs w:val="20"/>
        </w:rPr>
        <w:t>’</w:t>
      </w:r>
      <w:r w:rsidRPr="00501E32">
        <w:rPr>
          <w:rFonts w:ascii="Times New Roman" w:hAnsi="Times New Roman" w:cs="Times New Roman"/>
          <w:sz w:val="20"/>
          <w:szCs w:val="20"/>
        </w:rPr>
        <w:t>Autorità di vigilanza sul sistema bancario nell</w:t>
      </w:r>
      <w:r w:rsidR="00855E03">
        <w:rPr>
          <w:rFonts w:ascii="Times New Roman" w:hAnsi="Times New Roman" w:cs="Times New Roman"/>
          <w:sz w:val="20"/>
          <w:szCs w:val="20"/>
        </w:rPr>
        <w:t>’</w:t>
      </w:r>
      <w:r w:rsidRPr="00501E32">
        <w:rPr>
          <w:rFonts w:ascii="Times New Roman" w:hAnsi="Times New Roman" w:cs="Times New Roman"/>
          <w:sz w:val="20"/>
          <w:szCs w:val="20"/>
        </w:rPr>
        <w:t>ambito della c.d. “vigilanza prudenziale”, in forza di una norma di natura non imperativa, la cui violazione è, dunque, insuscettibile di determinare la nullità del contratto, che potrebbe condurre al pregiudizio proprio di quell</w:t>
      </w:r>
      <w:r w:rsidR="00855E03">
        <w:rPr>
          <w:rFonts w:ascii="Times New Roman" w:hAnsi="Times New Roman" w:cs="Times New Roman"/>
          <w:sz w:val="20"/>
          <w:szCs w:val="20"/>
        </w:rPr>
        <w:t>’</w:t>
      </w:r>
      <w:r w:rsidRPr="00501E32">
        <w:rPr>
          <w:rFonts w:ascii="Times New Roman" w:hAnsi="Times New Roman" w:cs="Times New Roman"/>
          <w:sz w:val="20"/>
          <w:szCs w:val="20"/>
        </w:rPr>
        <w:t>interesse alla stabilità patrimoniale della banca e al contenimento dei rischi nella concessione del credito che la disposizione mira a proteggere.</w:t>
      </w:r>
    </w:p>
  </w:footnote>
  <w:footnote w:id="24">
    <w:p w:rsidR="008A6E92" w:rsidRPr="00501E32" w:rsidRDefault="008A6E92"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Invero, sono marginali in casi in cui l</w:t>
      </w:r>
      <w:r w:rsidR="00855E03">
        <w:rPr>
          <w:rFonts w:ascii="Times New Roman" w:hAnsi="Times New Roman" w:cs="Times New Roman"/>
        </w:rPr>
        <w:t>’</w:t>
      </w:r>
      <w:r w:rsidRPr="00501E32">
        <w:rPr>
          <w:rFonts w:ascii="Times New Roman" w:hAnsi="Times New Roman" w:cs="Times New Roman"/>
        </w:rPr>
        <w:t xml:space="preserve">esistenza del credito negoziato sul mercato degli NPE, </w:t>
      </w:r>
      <w:r w:rsidRPr="00501E32">
        <w:rPr>
          <w:rFonts w:ascii="Times New Roman" w:hAnsi="Times New Roman" w:cs="Times New Roman"/>
          <w:i/>
          <w:iCs/>
        </w:rPr>
        <w:t>rectius</w:t>
      </w:r>
      <w:r w:rsidRPr="00501E32">
        <w:rPr>
          <w:rFonts w:ascii="Times New Roman" w:hAnsi="Times New Roman" w:cs="Times New Roman"/>
        </w:rPr>
        <w:t xml:space="preserve"> della sua garanzia (che tuttavia incide in modo decisivo nella determinazione del suo controvalore), dipende da accadimenti naturali, piuttosto che da</w:t>
      </w:r>
      <w:r w:rsidR="00490722" w:rsidRPr="00501E32">
        <w:rPr>
          <w:rFonts w:ascii="Times New Roman" w:hAnsi="Times New Roman" w:cs="Times New Roman"/>
        </w:rPr>
        <w:t>lla qualificazione del contratto da cui trae origine in termini di validità o invalidità oppure dagli effetti giuridici del decorso del tempo (prescrizione, estinzione dell</w:t>
      </w:r>
      <w:r w:rsidR="00855E03">
        <w:rPr>
          <w:rFonts w:ascii="Times New Roman" w:hAnsi="Times New Roman" w:cs="Times New Roman"/>
        </w:rPr>
        <w:t>’</w:t>
      </w:r>
      <w:r w:rsidR="00490722" w:rsidRPr="00501E32">
        <w:rPr>
          <w:rFonts w:ascii="Times New Roman" w:hAnsi="Times New Roman" w:cs="Times New Roman"/>
        </w:rPr>
        <w:t>ipoteca per omessa rinnovazione, ecc.): il principale è quello dell</w:t>
      </w:r>
      <w:r w:rsidR="00855E03">
        <w:rPr>
          <w:rFonts w:ascii="Times New Roman" w:hAnsi="Times New Roman" w:cs="Times New Roman"/>
        </w:rPr>
        <w:t>’</w:t>
      </w:r>
      <w:r w:rsidR="00490722" w:rsidRPr="00501E32">
        <w:rPr>
          <w:rFonts w:ascii="Times New Roman" w:hAnsi="Times New Roman" w:cs="Times New Roman"/>
        </w:rPr>
        <w:t>estinzione dell</w:t>
      </w:r>
      <w:r w:rsidR="00855E03">
        <w:rPr>
          <w:rFonts w:ascii="Times New Roman" w:hAnsi="Times New Roman" w:cs="Times New Roman"/>
        </w:rPr>
        <w:t>’</w:t>
      </w:r>
      <w:r w:rsidR="00490722" w:rsidRPr="00501E32">
        <w:rPr>
          <w:rFonts w:ascii="Times New Roman" w:hAnsi="Times New Roman" w:cs="Times New Roman"/>
        </w:rPr>
        <w:t>ipoteca per perimento del bene ipotecato, ai sensi dell</w:t>
      </w:r>
      <w:r w:rsidR="00855E03">
        <w:rPr>
          <w:rFonts w:ascii="Times New Roman" w:hAnsi="Times New Roman" w:cs="Times New Roman"/>
        </w:rPr>
        <w:t>’</w:t>
      </w:r>
      <w:r w:rsidR="00490722" w:rsidRPr="00501E32">
        <w:rPr>
          <w:rFonts w:ascii="Times New Roman" w:hAnsi="Times New Roman" w:cs="Times New Roman"/>
        </w:rPr>
        <w:t>art. 2878, n. 4, c.c.</w:t>
      </w:r>
    </w:p>
  </w:footnote>
  <w:footnote w:id="25">
    <w:p w:rsidR="003E3FE9" w:rsidRPr="00501E32" w:rsidRDefault="003E3FE9"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Inzitari, </w:t>
      </w:r>
      <w:r w:rsidRPr="00501E32">
        <w:rPr>
          <w:rFonts w:ascii="Times New Roman" w:hAnsi="Times New Roman" w:cs="Times New Roman"/>
          <w:i/>
          <w:iCs/>
        </w:rPr>
        <w:t>Valore attuale e prospettico della garanzia nella circolazione dei crediti e tutela risarcitoria per il cessionario</w:t>
      </w:r>
      <w:r w:rsidRPr="00501E32">
        <w:rPr>
          <w:rFonts w:ascii="Times New Roman" w:hAnsi="Times New Roman" w:cs="Times New Roman"/>
        </w:rPr>
        <w:t xml:space="preserve">, in </w:t>
      </w:r>
      <w:r w:rsidRPr="00501E32">
        <w:rPr>
          <w:rFonts w:ascii="Times New Roman" w:hAnsi="Times New Roman" w:cs="Times New Roman"/>
          <w:i/>
          <w:iCs/>
        </w:rPr>
        <w:t>https://inexecutivis.it/approfondimenti/2020/giugno/valore-attuale-e-prospettico-della-garanzia-nella-circolazione-dei-crediti-e-tutela-risarcitoria-per-il-cessionario/</w:t>
      </w:r>
      <w:r w:rsidRPr="00501E32">
        <w:rPr>
          <w:rFonts w:ascii="Times New Roman" w:hAnsi="Times New Roman" w:cs="Times New Roman"/>
        </w:rPr>
        <w:t xml:space="preserve">, </w:t>
      </w:r>
      <w:proofErr w:type="gramStart"/>
      <w:r w:rsidRPr="00501E32">
        <w:rPr>
          <w:rFonts w:ascii="Times New Roman" w:hAnsi="Times New Roman" w:cs="Times New Roman"/>
        </w:rPr>
        <w:t>osserva</w:t>
      </w:r>
      <w:proofErr w:type="gramEnd"/>
      <w:r w:rsidRPr="00501E32">
        <w:rPr>
          <w:rFonts w:ascii="Times New Roman" w:hAnsi="Times New Roman" w:cs="Times New Roman"/>
        </w:rPr>
        <w:t>: «</w:t>
      </w:r>
      <w:r w:rsidRPr="00501E32">
        <w:rPr>
          <w:rFonts w:ascii="Times New Roman" w:hAnsi="Times New Roman" w:cs="Times New Roman"/>
          <w:i/>
          <w:iCs/>
        </w:rPr>
        <w:t>una maggiore stabilità e trasparenza nella valutazione delle concrete aspettative di soddisfazione del credito, viene assicurata dalla garanzia che accompagna il credito. La valutazione del credito non può quindi prescindere dalla consistenza della garanzia. Essa dipende dalla sua efficacia e, nel caso dell</w:t>
      </w:r>
      <w:r w:rsidR="00855E03">
        <w:rPr>
          <w:rFonts w:ascii="Times New Roman" w:hAnsi="Times New Roman" w:cs="Times New Roman"/>
          <w:i/>
          <w:iCs/>
        </w:rPr>
        <w:t>’</w:t>
      </w:r>
      <w:r w:rsidRPr="00501E32">
        <w:rPr>
          <w:rFonts w:ascii="Times New Roman" w:hAnsi="Times New Roman" w:cs="Times New Roman"/>
          <w:i/>
          <w:iCs/>
        </w:rPr>
        <w:t>ipoteca, dal grado, dalle condizioni di realizzazione del bene e quindi dai tempi e costi di liquidazione e di allocazione del bene sul mercato</w:t>
      </w:r>
      <w:r w:rsidRPr="00501E32">
        <w:rPr>
          <w:rFonts w:ascii="Times New Roman" w:hAnsi="Times New Roman" w:cs="Times New Roman"/>
        </w:rPr>
        <w:t>».</w:t>
      </w:r>
    </w:p>
  </w:footnote>
  <w:footnote w:id="26">
    <w:p w:rsidR="001C3328" w:rsidRPr="00501E32" w:rsidRDefault="001C3328" w:rsidP="00501E32">
      <w:pPr>
        <w:jc w:val="both"/>
        <w:rPr>
          <w:rFonts w:ascii="Times New Roman" w:hAnsi="Times New Roman" w:cs="Times New Roman"/>
          <w:sz w:val="20"/>
          <w:szCs w:val="20"/>
        </w:rPr>
      </w:pPr>
      <w:r w:rsidRPr="00501E32">
        <w:rPr>
          <w:rStyle w:val="Rimandonotaapidipagina"/>
          <w:rFonts w:ascii="Times New Roman" w:hAnsi="Times New Roman" w:cs="Times New Roman"/>
          <w:sz w:val="20"/>
          <w:szCs w:val="20"/>
        </w:rPr>
        <w:footnoteRef/>
      </w:r>
      <w:r w:rsidRPr="00501E32">
        <w:rPr>
          <w:rFonts w:ascii="Times New Roman" w:hAnsi="Times New Roman" w:cs="Times New Roman"/>
          <w:sz w:val="20"/>
          <w:szCs w:val="20"/>
        </w:rPr>
        <w:t xml:space="preserve"> </w:t>
      </w:r>
      <w:r w:rsidRPr="00501E32">
        <w:rPr>
          <w:rFonts w:ascii="Times New Roman" w:eastAsia="Times New Roman" w:hAnsi="Times New Roman" w:cs="Times New Roman"/>
          <w:sz w:val="20"/>
          <w:szCs w:val="20"/>
          <w:lang w:eastAsia="it-IT"/>
        </w:rPr>
        <w:t xml:space="preserve">Negli ultimi anni le GACS hanno efficacemente supportato il </w:t>
      </w:r>
      <w:r w:rsidRPr="00501E32">
        <w:rPr>
          <w:rFonts w:ascii="Times New Roman" w:eastAsia="Times New Roman" w:hAnsi="Times New Roman" w:cs="Times New Roman"/>
          <w:i/>
          <w:iCs/>
          <w:sz w:val="20"/>
          <w:szCs w:val="20"/>
          <w:lang w:eastAsia="it-IT"/>
        </w:rPr>
        <w:t>de-</w:t>
      </w:r>
      <w:proofErr w:type="spellStart"/>
      <w:r w:rsidRPr="00501E32">
        <w:rPr>
          <w:rFonts w:ascii="Times New Roman" w:eastAsia="Times New Roman" w:hAnsi="Times New Roman" w:cs="Times New Roman"/>
          <w:i/>
          <w:iCs/>
          <w:sz w:val="20"/>
          <w:szCs w:val="20"/>
          <w:lang w:eastAsia="it-IT"/>
        </w:rPr>
        <w:t>risking</w:t>
      </w:r>
      <w:proofErr w:type="spellEnd"/>
      <w:r w:rsidRPr="00501E32">
        <w:rPr>
          <w:rFonts w:ascii="Times New Roman" w:eastAsia="Times New Roman" w:hAnsi="Times New Roman" w:cs="Times New Roman"/>
          <w:sz w:val="20"/>
          <w:szCs w:val="20"/>
          <w:lang w:eastAsia="it-IT"/>
        </w:rPr>
        <w:t xml:space="preserve"> delle banche italiane e lo sviluppo del mercato </w:t>
      </w:r>
      <w:proofErr w:type="spellStart"/>
      <w:r w:rsidRPr="00501E32">
        <w:rPr>
          <w:rFonts w:ascii="Times New Roman" w:eastAsia="Times New Roman" w:hAnsi="Times New Roman" w:cs="Times New Roman"/>
          <w:sz w:val="20"/>
          <w:szCs w:val="20"/>
          <w:lang w:eastAsia="it-IT"/>
        </w:rPr>
        <w:t>Npl</w:t>
      </w:r>
      <w:proofErr w:type="spellEnd"/>
      <w:r w:rsidRPr="00501E32">
        <w:rPr>
          <w:rFonts w:ascii="Times New Roman" w:eastAsia="Times New Roman" w:hAnsi="Times New Roman" w:cs="Times New Roman"/>
          <w:sz w:val="20"/>
          <w:szCs w:val="20"/>
          <w:lang w:eastAsia="it-IT"/>
        </w:rPr>
        <w:t>.</w:t>
      </w:r>
      <w:r w:rsidR="00D33143" w:rsidRPr="00501E32">
        <w:rPr>
          <w:rFonts w:ascii="Times New Roman" w:eastAsia="Times New Roman" w:hAnsi="Times New Roman" w:cs="Times New Roman"/>
          <w:sz w:val="20"/>
          <w:szCs w:val="20"/>
          <w:lang w:eastAsia="it-IT"/>
        </w:rPr>
        <w:t xml:space="preserve"> Si veda</w:t>
      </w:r>
      <w:r w:rsidR="008A04AE" w:rsidRPr="00501E32">
        <w:rPr>
          <w:rFonts w:ascii="Times New Roman" w:eastAsia="Times New Roman" w:hAnsi="Times New Roman" w:cs="Times New Roman"/>
          <w:sz w:val="20"/>
          <w:szCs w:val="20"/>
          <w:lang w:eastAsia="it-IT"/>
        </w:rPr>
        <w:t>no</w:t>
      </w:r>
      <w:r w:rsidR="00D33143" w:rsidRPr="00501E32">
        <w:rPr>
          <w:rFonts w:ascii="Times New Roman" w:eastAsia="Times New Roman" w:hAnsi="Times New Roman" w:cs="Times New Roman"/>
          <w:sz w:val="20"/>
          <w:szCs w:val="20"/>
          <w:lang w:eastAsia="it-IT"/>
        </w:rPr>
        <w:t xml:space="preserve">, in questo stesso volume, </w:t>
      </w:r>
      <w:r w:rsidR="008A04AE" w:rsidRPr="00501E32">
        <w:rPr>
          <w:rFonts w:ascii="Times New Roman" w:eastAsia="Times New Roman" w:hAnsi="Times New Roman" w:cs="Times New Roman"/>
          <w:sz w:val="20"/>
          <w:szCs w:val="20"/>
          <w:lang w:eastAsia="it-IT"/>
        </w:rPr>
        <w:t xml:space="preserve">Messina, </w:t>
      </w:r>
      <w:r w:rsidR="008A04AE" w:rsidRPr="00501E32">
        <w:rPr>
          <w:rFonts w:ascii="Times New Roman" w:eastAsia="Times New Roman" w:hAnsi="Times New Roman" w:cs="Times New Roman"/>
          <w:i/>
          <w:iCs/>
          <w:sz w:val="20"/>
          <w:szCs w:val="20"/>
          <w:lang w:eastAsia="it-IT"/>
        </w:rPr>
        <w:t>L</w:t>
      </w:r>
      <w:r w:rsidR="00855E03">
        <w:rPr>
          <w:rFonts w:ascii="Times New Roman" w:eastAsia="Times New Roman" w:hAnsi="Times New Roman" w:cs="Times New Roman"/>
          <w:i/>
          <w:iCs/>
          <w:sz w:val="20"/>
          <w:szCs w:val="20"/>
          <w:lang w:eastAsia="it-IT"/>
        </w:rPr>
        <w:t>’</w:t>
      </w:r>
      <w:r w:rsidR="008A04AE" w:rsidRPr="00501E32">
        <w:rPr>
          <w:rFonts w:ascii="Times New Roman" w:eastAsia="Times New Roman" w:hAnsi="Times New Roman" w:cs="Times New Roman"/>
          <w:i/>
          <w:iCs/>
          <w:sz w:val="20"/>
          <w:szCs w:val="20"/>
          <w:lang w:eastAsia="it-IT"/>
        </w:rPr>
        <w:t>uso delle garanzie pubbliche per la gestione dei crediti deteriorati</w:t>
      </w:r>
      <w:r w:rsidR="008A04AE" w:rsidRPr="00501E32">
        <w:rPr>
          <w:rFonts w:ascii="Times New Roman" w:eastAsia="Times New Roman" w:hAnsi="Times New Roman" w:cs="Times New Roman"/>
          <w:sz w:val="20"/>
          <w:szCs w:val="20"/>
          <w:lang w:eastAsia="it-IT"/>
        </w:rPr>
        <w:t xml:space="preserve">, e </w:t>
      </w:r>
      <w:r w:rsidR="00D33143" w:rsidRPr="00501E32">
        <w:rPr>
          <w:rFonts w:ascii="Times New Roman" w:eastAsia="Times New Roman" w:hAnsi="Times New Roman" w:cs="Times New Roman"/>
          <w:sz w:val="20"/>
          <w:szCs w:val="20"/>
          <w:lang w:eastAsia="it-IT"/>
        </w:rPr>
        <w:t xml:space="preserve">Roscioni, </w:t>
      </w:r>
      <w:r w:rsidR="00D33143" w:rsidRPr="00501E32">
        <w:rPr>
          <w:rFonts w:ascii="Times New Roman" w:eastAsia="Times New Roman" w:hAnsi="Times New Roman" w:cs="Times New Roman"/>
          <w:i/>
          <w:iCs/>
          <w:sz w:val="20"/>
          <w:szCs w:val="20"/>
          <w:lang w:eastAsia="it-IT"/>
        </w:rPr>
        <w:t>Le cartolarizzazioni di crediti in sofferenza con garanzia pubblica: strumento, modifiche e ruolo del servicer</w:t>
      </w:r>
      <w:r w:rsidR="00D33143" w:rsidRPr="00501E32">
        <w:rPr>
          <w:rFonts w:ascii="Times New Roman" w:eastAsia="Times New Roman" w:hAnsi="Times New Roman" w:cs="Times New Roman"/>
          <w:sz w:val="20"/>
          <w:szCs w:val="20"/>
          <w:lang w:eastAsia="it-IT"/>
        </w:rPr>
        <w:t>.</w:t>
      </w:r>
    </w:p>
  </w:footnote>
  <w:footnote w:id="27">
    <w:p w:rsidR="007129CD" w:rsidRPr="00501E32" w:rsidRDefault="007129CD"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Guizzi, </w:t>
      </w:r>
      <w:r w:rsidRPr="00501E32">
        <w:rPr>
          <w:rFonts w:ascii="Times New Roman" w:hAnsi="Times New Roman" w:cs="Times New Roman"/>
          <w:i/>
          <w:iCs/>
        </w:rPr>
        <w:t>op. cit.</w:t>
      </w:r>
      <w:r w:rsidRPr="00501E32">
        <w:rPr>
          <w:rFonts w:ascii="Times New Roman" w:hAnsi="Times New Roman" w:cs="Times New Roman"/>
        </w:rPr>
        <w:t>, p. 746.</w:t>
      </w:r>
    </w:p>
    <w:p w:rsidR="00CE06F4" w:rsidRPr="00501E32" w:rsidRDefault="008B714F" w:rsidP="00501E32">
      <w:pPr>
        <w:pStyle w:val="Testonotaapidipagina"/>
        <w:jc w:val="both"/>
        <w:rPr>
          <w:rFonts w:ascii="Times New Roman" w:hAnsi="Times New Roman" w:cs="Times New Roman"/>
        </w:rPr>
      </w:pPr>
      <w:r w:rsidRPr="00501E32">
        <w:rPr>
          <w:rFonts w:ascii="Times New Roman" w:hAnsi="Times New Roman" w:cs="Times New Roman"/>
        </w:rPr>
        <w:t xml:space="preserve">Il concetto appena espresso è declinato in termini </w:t>
      </w:r>
      <w:proofErr w:type="spellStart"/>
      <w:r w:rsidRPr="00501E32">
        <w:rPr>
          <w:rFonts w:ascii="Times New Roman" w:hAnsi="Times New Roman" w:cs="Times New Roman"/>
        </w:rPr>
        <w:t>giuspositivistici</w:t>
      </w:r>
      <w:proofErr w:type="spellEnd"/>
      <w:r w:rsidRPr="00501E32">
        <w:rPr>
          <w:rFonts w:ascii="Times New Roman" w:hAnsi="Times New Roman" w:cs="Times New Roman"/>
        </w:rPr>
        <w:t xml:space="preserve">. Ma vi è pure chi ritiene che il mercato esprima </w:t>
      </w:r>
      <w:r w:rsidR="00CE06F4" w:rsidRPr="00501E32">
        <w:rPr>
          <w:rFonts w:ascii="Times New Roman" w:hAnsi="Times New Roman" w:cs="Times New Roman"/>
        </w:rPr>
        <w:t xml:space="preserve">un nuovo diritto naturale per la regolazione dei rapporti commerciali nel rispetto dei princìpi generali del diritto civile universalmente riconosciuti: Galgano, </w:t>
      </w:r>
      <w:proofErr w:type="spellStart"/>
      <w:r w:rsidR="00CE06F4" w:rsidRPr="00501E32">
        <w:rPr>
          <w:rFonts w:ascii="Times New Roman" w:hAnsi="Times New Roman" w:cs="Times New Roman"/>
          <w:i/>
          <w:iCs/>
        </w:rPr>
        <w:t>Lex</w:t>
      </w:r>
      <w:proofErr w:type="spellEnd"/>
      <w:r w:rsidR="00CE06F4" w:rsidRPr="00501E32">
        <w:rPr>
          <w:rFonts w:ascii="Times New Roman" w:hAnsi="Times New Roman" w:cs="Times New Roman"/>
          <w:i/>
          <w:iCs/>
        </w:rPr>
        <w:t xml:space="preserve"> mercatoria</w:t>
      </w:r>
      <w:r w:rsidR="00CE06F4" w:rsidRPr="00501E32">
        <w:rPr>
          <w:rFonts w:ascii="Times New Roman" w:hAnsi="Times New Roman" w:cs="Times New Roman"/>
        </w:rPr>
        <w:t>, Bologna, 2016.</w:t>
      </w:r>
    </w:p>
    <w:p w:rsidR="008B714F" w:rsidRPr="00501E32" w:rsidRDefault="00CE06F4" w:rsidP="00501E32">
      <w:pPr>
        <w:pStyle w:val="Testonotaapidipagina"/>
        <w:jc w:val="both"/>
        <w:rPr>
          <w:rFonts w:ascii="Times New Roman" w:hAnsi="Times New Roman" w:cs="Times New Roman"/>
        </w:rPr>
      </w:pPr>
      <w:r w:rsidRPr="00501E32">
        <w:rPr>
          <w:rFonts w:ascii="Times New Roman" w:hAnsi="Times New Roman" w:cs="Times New Roman"/>
        </w:rPr>
        <w:t xml:space="preserve">a </w:t>
      </w:r>
      <w:proofErr w:type="spellStart"/>
      <w:r w:rsidRPr="00501E32">
        <w:rPr>
          <w:rFonts w:ascii="Times New Roman" w:hAnsi="Times New Roman" w:cs="Times New Roman"/>
          <w:i/>
          <w:iCs/>
        </w:rPr>
        <w:t>lex</w:t>
      </w:r>
      <w:proofErr w:type="spellEnd"/>
      <w:r w:rsidRPr="00501E32">
        <w:rPr>
          <w:rFonts w:ascii="Times New Roman" w:hAnsi="Times New Roman" w:cs="Times New Roman"/>
          <w:i/>
          <w:iCs/>
        </w:rPr>
        <w:t xml:space="preserve"> mercatoria</w:t>
      </w:r>
      <w:r w:rsidRPr="00501E32">
        <w:rPr>
          <w:rFonts w:ascii="Times New Roman" w:hAnsi="Times New Roman" w:cs="Times New Roman"/>
        </w:rPr>
        <w:t>, anch</w:t>
      </w:r>
      <w:r w:rsidR="00855E03">
        <w:rPr>
          <w:rFonts w:ascii="Times New Roman" w:hAnsi="Times New Roman" w:cs="Times New Roman"/>
        </w:rPr>
        <w:t>’</w:t>
      </w:r>
      <w:r w:rsidRPr="00501E32">
        <w:rPr>
          <w:rFonts w:ascii="Times New Roman" w:hAnsi="Times New Roman" w:cs="Times New Roman"/>
        </w:rPr>
        <w:t>essa direttamente creata dal ceto imprenditoriale, destinata come l</w:t>
      </w:r>
      <w:r w:rsidR="00855E03">
        <w:rPr>
          <w:rFonts w:ascii="Times New Roman" w:hAnsi="Times New Roman" w:cs="Times New Roman"/>
        </w:rPr>
        <w:t>’</w:t>
      </w:r>
      <w:r w:rsidRPr="00501E32">
        <w:rPr>
          <w:rFonts w:ascii="Times New Roman" w:hAnsi="Times New Roman" w:cs="Times New Roman"/>
        </w:rPr>
        <w:t>antica a reggere in modo uniforme, al di là dei confini nazionali, l</w:t>
      </w:r>
      <w:r w:rsidR="00855E03">
        <w:rPr>
          <w:rFonts w:ascii="Times New Roman" w:hAnsi="Times New Roman" w:cs="Times New Roman"/>
        </w:rPr>
        <w:t>’</w:t>
      </w:r>
      <w:r w:rsidRPr="00501E32">
        <w:rPr>
          <w:rFonts w:ascii="Times New Roman" w:hAnsi="Times New Roman" w:cs="Times New Roman"/>
        </w:rPr>
        <w:t>intero mercato mondiale</w:t>
      </w:r>
    </w:p>
  </w:footnote>
  <w:footnote w:id="28">
    <w:p w:rsidR="00501E32" w:rsidRPr="00501E32" w:rsidRDefault="00501E32"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Nel mercato dei crediti deteriorati sono ben identificate ed espressamente regolamentate le </w:t>
      </w:r>
      <w:r w:rsidRPr="00501E32">
        <w:rPr>
          <w:rFonts w:ascii="Times New Roman" w:hAnsi="Times New Roman" w:cs="Times New Roman"/>
          <w:i/>
          <w:iCs/>
        </w:rPr>
        <w:t>personae</w:t>
      </w:r>
      <w:r w:rsidRPr="00501E32">
        <w:rPr>
          <w:rFonts w:ascii="Times New Roman" w:hAnsi="Times New Roman" w:cs="Times New Roman"/>
        </w:rPr>
        <w:t xml:space="preserve"> che vi operano: le banche che generano il mercato primario (c.d. </w:t>
      </w:r>
      <w:r w:rsidRPr="00501E32">
        <w:rPr>
          <w:rFonts w:ascii="Times New Roman" w:hAnsi="Times New Roman" w:cs="Times New Roman"/>
          <w:i/>
          <w:iCs/>
        </w:rPr>
        <w:t>originator</w:t>
      </w:r>
      <w:r w:rsidRPr="00501E32">
        <w:rPr>
          <w:rFonts w:ascii="Times New Roman" w:hAnsi="Times New Roman" w:cs="Times New Roman"/>
        </w:rPr>
        <w:t xml:space="preserve">) e gli operatori finanziari (i quali, a seconda delle tipologie di operazioni che intendono porre in essere devono essere dotate di diversi requisiti soggettivi); v. Iaquinta, </w:t>
      </w:r>
      <w:r w:rsidRPr="00501E32">
        <w:rPr>
          <w:rFonts w:ascii="Times New Roman" w:hAnsi="Times New Roman" w:cs="Times New Roman"/>
          <w:i/>
          <w:iCs/>
        </w:rPr>
        <w:t>Le figure professionali nella gestione degli NPE e delle cartolarizzazioni</w:t>
      </w:r>
      <w:r w:rsidRPr="00501E32">
        <w:rPr>
          <w:rFonts w:ascii="Times New Roman" w:hAnsi="Times New Roman" w:cs="Times New Roman"/>
        </w:rPr>
        <w:t xml:space="preserve">, in questo stesso volume. Sono chiaramente individuate le autorità regolatrici. Sono ben definite le </w:t>
      </w:r>
      <w:r w:rsidRPr="00501E32">
        <w:rPr>
          <w:rFonts w:ascii="Times New Roman" w:hAnsi="Times New Roman" w:cs="Times New Roman"/>
          <w:i/>
          <w:iCs/>
        </w:rPr>
        <w:t>res</w:t>
      </w:r>
      <w:r w:rsidRPr="00501E32">
        <w:rPr>
          <w:rFonts w:ascii="Times New Roman" w:hAnsi="Times New Roman" w:cs="Times New Roman"/>
        </w:rPr>
        <w:t xml:space="preserve"> (le varie tipologie di crediti negoziati) e le </w:t>
      </w:r>
      <w:proofErr w:type="spellStart"/>
      <w:r w:rsidRPr="00501E32">
        <w:rPr>
          <w:rFonts w:ascii="Times New Roman" w:hAnsi="Times New Roman" w:cs="Times New Roman"/>
          <w:i/>
          <w:iCs/>
        </w:rPr>
        <w:t>actiones</w:t>
      </w:r>
      <w:proofErr w:type="spellEnd"/>
      <w:r w:rsidRPr="00501E32">
        <w:rPr>
          <w:rFonts w:ascii="Times New Roman" w:hAnsi="Times New Roman" w:cs="Times New Roman"/>
        </w:rPr>
        <w:t>, per quest</w:t>
      </w:r>
      <w:r w:rsidR="00855E03">
        <w:rPr>
          <w:rFonts w:ascii="Times New Roman" w:hAnsi="Times New Roman" w:cs="Times New Roman"/>
        </w:rPr>
        <w:t>’</w:t>
      </w:r>
      <w:r w:rsidRPr="00501E32">
        <w:rPr>
          <w:rFonts w:ascii="Times New Roman" w:hAnsi="Times New Roman" w:cs="Times New Roman"/>
        </w:rPr>
        <w:t>ultime intendendosi le operazioni giuridiche che possono essere compiute (alcune delle quali – ad esempio, la cessione di crediti in blocco – destinatarie di una specifica disciplina). Dunque, tutti gli elementi tipici per la definizione di un mercato sono univocamente presenti.</w:t>
      </w:r>
    </w:p>
  </w:footnote>
  <w:footnote w:id="29">
    <w:p w:rsidR="001C3328" w:rsidRPr="00501E32" w:rsidRDefault="001C3328"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Così lo stesso Guizzi, </w:t>
      </w:r>
      <w:proofErr w:type="spellStart"/>
      <w:r w:rsidRPr="00501E32">
        <w:rPr>
          <w:rFonts w:ascii="Times New Roman" w:hAnsi="Times New Roman" w:cs="Times New Roman"/>
          <w:i/>
          <w:iCs/>
        </w:rPr>
        <w:t>loc</w:t>
      </w:r>
      <w:proofErr w:type="spellEnd"/>
      <w:r w:rsidRPr="00501E32">
        <w:rPr>
          <w:rFonts w:ascii="Times New Roman" w:hAnsi="Times New Roman" w:cs="Times New Roman"/>
          <w:i/>
          <w:iCs/>
        </w:rPr>
        <w:t>. cit.</w:t>
      </w:r>
    </w:p>
  </w:footnote>
  <w:footnote w:id="30">
    <w:p w:rsidR="00F57B8C" w:rsidRPr="00501E32" w:rsidRDefault="00F57B8C"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In generale, su questi temi si veda Barcellona, </w:t>
      </w:r>
      <w:r w:rsidRPr="00501E32">
        <w:rPr>
          <w:rFonts w:ascii="Times New Roman" w:hAnsi="Times New Roman" w:cs="Times New Roman"/>
          <w:i/>
          <w:iCs/>
        </w:rPr>
        <w:t>Diritto, sistema e senso. Lineamenti di una teoria</w:t>
      </w:r>
      <w:r w:rsidR="00E83F3B" w:rsidRPr="00501E32">
        <w:rPr>
          <w:rFonts w:ascii="Times New Roman" w:hAnsi="Times New Roman" w:cs="Times New Roman"/>
          <w:i/>
          <w:iCs/>
        </w:rPr>
        <w:t xml:space="preserve"> giuridica sistemica</w:t>
      </w:r>
      <w:r w:rsidRPr="00501E32">
        <w:rPr>
          <w:rFonts w:ascii="Times New Roman" w:hAnsi="Times New Roman" w:cs="Times New Roman"/>
        </w:rPr>
        <w:t>, Torino, 1996.</w:t>
      </w:r>
    </w:p>
  </w:footnote>
  <w:footnote w:id="31">
    <w:p w:rsidR="00D33143" w:rsidRPr="00501E32" w:rsidRDefault="00D33143"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Sulle diverse tipologie contrattuali nella negoziazione degli NPE si rinvia, in questo stesso volume, a </w:t>
      </w:r>
      <w:proofErr w:type="spellStart"/>
      <w:r w:rsidRPr="00501E32">
        <w:rPr>
          <w:rFonts w:ascii="Times New Roman" w:hAnsi="Times New Roman" w:cs="Times New Roman"/>
        </w:rPr>
        <w:t>Vernuccio</w:t>
      </w:r>
      <w:proofErr w:type="spellEnd"/>
      <w:r w:rsidRPr="00501E32">
        <w:rPr>
          <w:rFonts w:ascii="Times New Roman" w:hAnsi="Times New Roman" w:cs="Times New Roman"/>
        </w:rPr>
        <w:t xml:space="preserve">, </w:t>
      </w:r>
      <w:r w:rsidRPr="00501E32">
        <w:rPr>
          <w:rFonts w:ascii="Times New Roman" w:hAnsi="Times New Roman" w:cs="Times New Roman"/>
          <w:i/>
          <w:iCs/>
        </w:rPr>
        <w:t xml:space="preserve">Negoziazione e clausole contrattuali nella cessione delle </w:t>
      </w:r>
      <w:proofErr w:type="spellStart"/>
      <w:r w:rsidRPr="00501E32">
        <w:rPr>
          <w:rFonts w:ascii="Times New Roman" w:hAnsi="Times New Roman" w:cs="Times New Roman"/>
          <w:i/>
          <w:iCs/>
        </w:rPr>
        <w:t>NPEs</w:t>
      </w:r>
      <w:proofErr w:type="spellEnd"/>
      <w:r w:rsidRPr="00501E32">
        <w:rPr>
          <w:rFonts w:ascii="Times New Roman" w:hAnsi="Times New Roman" w:cs="Times New Roman"/>
          <w:i/>
          <w:iCs/>
        </w:rPr>
        <w:t>.</w:t>
      </w:r>
    </w:p>
  </w:footnote>
  <w:footnote w:id="32">
    <w:p w:rsidR="006E0B34" w:rsidRPr="00501E32" w:rsidRDefault="006E0B34"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176DE9" w:rsidRPr="00501E32">
        <w:rPr>
          <w:rFonts w:ascii="Times New Roman" w:hAnsi="Times New Roman" w:cs="Times New Roman"/>
        </w:rPr>
        <w:t xml:space="preserve">Secondo V. Panuccio, </w:t>
      </w:r>
      <w:r w:rsidR="00176DE9" w:rsidRPr="00501E32">
        <w:rPr>
          <w:rFonts w:ascii="Times New Roman" w:hAnsi="Times New Roman" w:cs="Times New Roman"/>
          <w:i/>
          <w:iCs/>
        </w:rPr>
        <w:t>La cessione volontaria dei crediti nella teoria del trasferimento</w:t>
      </w:r>
      <w:r w:rsidR="00176DE9" w:rsidRPr="00501E32">
        <w:rPr>
          <w:rFonts w:ascii="Times New Roman" w:hAnsi="Times New Roman" w:cs="Times New Roman"/>
        </w:rPr>
        <w:t>, Milano, 1955, p. 15, la cessione del credito avrebbe, dunque, una causa generica costante – ravvisabile nell</w:t>
      </w:r>
      <w:r w:rsidR="00855E03">
        <w:rPr>
          <w:rFonts w:ascii="Times New Roman" w:hAnsi="Times New Roman" w:cs="Times New Roman"/>
        </w:rPr>
        <w:t>’</w:t>
      </w:r>
      <w:r w:rsidR="00176DE9" w:rsidRPr="00501E32">
        <w:rPr>
          <w:rFonts w:ascii="Times New Roman" w:hAnsi="Times New Roman" w:cs="Times New Roman"/>
        </w:rPr>
        <w:t>interesse in sé alla alienazione del credito – e una causa specifica variabile, dipendente dalle finalità per le quali la cessione è posta in essere.</w:t>
      </w:r>
    </w:p>
    <w:p w:rsidR="00176DE9" w:rsidRPr="00501E32" w:rsidRDefault="00176DE9" w:rsidP="00501E32">
      <w:pPr>
        <w:pStyle w:val="Testonotaapidipagina"/>
        <w:jc w:val="both"/>
        <w:rPr>
          <w:rFonts w:ascii="Times New Roman" w:hAnsi="Times New Roman" w:cs="Times New Roman"/>
        </w:rPr>
      </w:pPr>
      <w:r w:rsidRPr="00501E32">
        <w:rPr>
          <w:rFonts w:ascii="Times New Roman" w:hAnsi="Times New Roman" w:cs="Times New Roman"/>
        </w:rPr>
        <w:t xml:space="preserve">Sul tema restano fondamentali i contributi di P. </w:t>
      </w:r>
      <w:proofErr w:type="spellStart"/>
      <w:r w:rsidRPr="00501E32">
        <w:rPr>
          <w:rFonts w:ascii="Times New Roman" w:hAnsi="Times New Roman" w:cs="Times New Roman"/>
        </w:rPr>
        <w:t>Perlingieri</w:t>
      </w:r>
      <w:proofErr w:type="spellEnd"/>
      <w:r w:rsidRPr="00501E32">
        <w:rPr>
          <w:rFonts w:ascii="Times New Roman" w:hAnsi="Times New Roman" w:cs="Times New Roman"/>
        </w:rPr>
        <w:t xml:space="preserve">, </w:t>
      </w:r>
      <w:r w:rsidRPr="00501E32">
        <w:rPr>
          <w:rFonts w:ascii="Times New Roman" w:hAnsi="Times New Roman" w:cs="Times New Roman"/>
          <w:i/>
          <w:iCs/>
        </w:rPr>
        <w:t>Della cessione dei crediti</w:t>
      </w:r>
      <w:r w:rsidRPr="00501E32">
        <w:rPr>
          <w:rFonts w:ascii="Times New Roman" w:hAnsi="Times New Roman" w:cs="Times New Roman"/>
        </w:rPr>
        <w:t xml:space="preserve">, in </w:t>
      </w:r>
      <w:r w:rsidRPr="00501E32">
        <w:rPr>
          <w:rFonts w:ascii="Times New Roman" w:hAnsi="Times New Roman" w:cs="Times New Roman"/>
          <w:i/>
          <w:iCs/>
        </w:rPr>
        <w:t>Commentario Scialoja e Branca</w:t>
      </w:r>
      <w:r w:rsidRPr="00501E32">
        <w:rPr>
          <w:rFonts w:ascii="Times New Roman" w:hAnsi="Times New Roman" w:cs="Times New Roman"/>
        </w:rPr>
        <w:t xml:space="preserve">, sub artt. 1260-1267, Bologna, 1982; A. Dolmetta, </w:t>
      </w:r>
      <w:r w:rsidRPr="00501E32">
        <w:rPr>
          <w:rFonts w:ascii="Times New Roman" w:hAnsi="Times New Roman" w:cs="Times New Roman"/>
          <w:i/>
          <w:iCs/>
        </w:rPr>
        <w:t>Cessione dei crediti</w:t>
      </w:r>
      <w:r w:rsidRPr="00501E32">
        <w:rPr>
          <w:rFonts w:ascii="Times New Roman" w:hAnsi="Times New Roman" w:cs="Times New Roman"/>
        </w:rPr>
        <w:t xml:space="preserve">, in </w:t>
      </w:r>
      <w:r w:rsidRPr="00501E32">
        <w:rPr>
          <w:rFonts w:ascii="Times New Roman" w:hAnsi="Times New Roman" w:cs="Times New Roman"/>
          <w:i/>
          <w:iCs/>
        </w:rPr>
        <w:t>Digesto delle discipline privatistiche</w:t>
      </w:r>
      <w:r w:rsidRPr="00501E32">
        <w:rPr>
          <w:rFonts w:ascii="Times New Roman" w:hAnsi="Times New Roman" w:cs="Times New Roman"/>
        </w:rPr>
        <w:t>, sez. civ., II, Torino, 1988, p. 285.</w:t>
      </w:r>
    </w:p>
  </w:footnote>
  <w:footnote w:id="33">
    <w:p w:rsidR="00176DE9" w:rsidRPr="00501E32" w:rsidRDefault="00176DE9"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Ad esempio, talvolta l</w:t>
      </w:r>
      <w:r w:rsidR="00855E03">
        <w:rPr>
          <w:rFonts w:ascii="Times New Roman" w:hAnsi="Times New Roman" w:cs="Times New Roman"/>
        </w:rPr>
        <w:t>’</w:t>
      </w:r>
      <w:r w:rsidRPr="00501E32">
        <w:rPr>
          <w:rFonts w:ascii="Times New Roman" w:hAnsi="Times New Roman" w:cs="Times New Roman"/>
        </w:rPr>
        <w:t>incetta di crediti deteriorati vantati nei confronti di una specifica impresa in crisi è funzionale alla formazione delle maggioranze del voto delle proposte di concordato.</w:t>
      </w:r>
    </w:p>
  </w:footnote>
  <w:footnote w:id="34">
    <w:p w:rsidR="00034D60" w:rsidRPr="00501E32" w:rsidRDefault="00D33143"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034D60" w:rsidRPr="00501E32">
        <w:rPr>
          <w:rFonts w:ascii="Times New Roman" w:hAnsi="Times New Roman" w:cs="Times New Roman"/>
        </w:rPr>
        <w:t>Infatti, in tema di interpretazione del contratto, l</w:t>
      </w:r>
      <w:r w:rsidR="00855E03">
        <w:rPr>
          <w:rFonts w:ascii="Times New Roman" w:hAnsi="Times New Roman" w:cs="Times New Roman"/>
        </w:rPr>
        <w:t>’</w:t>
      </w:r>
      <w:r w:rsidR="00034D60" w:rsidRPr="00501E32">
        <w:rPr>
          <w:rFonts w:ascii="Times New Roman" w:hAnsi="Times New Roman" w:cs="Times New Roman"/>
        </w:rPr>
        <w:t>elemento letterale, pur assumendo funzione fondamentale nella ricerca della effettiva volontà delle parti, deve invero essere riguardato alla stregua degli ulteriori criteri ermeneutici e, segnatamente, di quelli dell</w:t>
      </w:r>
      <w:r w:rsidR="00855E03">
        <w:rPr>
          <w:rFonts w:ascii="Times New Roman" w:hAnsi="Times New Roman" w:cs="Times New Roman"/>
        </w:rPr>
        <w:t>’</w:t>
      </w:r>
      <w:r w:rsidR="00034D60" w:rsidRPr="00501E32">
        <w:rPr>
          <w:rFonts w:ascii="Times New Roman" w:hAnsi="Times New Roman" w:cs="Times New Roman"/>
        </w:rPr>
        <w:t xml:space="preserve">interpretazione funzionale </w:t>
      </w:r>
      <w:r w:rsidR="00034D60" w:rsidRPr="00501E32">
        <w:rPr>
          <w:rFonts w:ascii="Times New Roman" w:hAnsi="Times New Roman" w:cs="Times New Roman"/>
          <w:i/>
          <w:iCs/>
        </w:rPr>
        <w:t>ex</w:t>
      </w:r>
      <w:r w:rsidR="00034D60" w:rsidRPr="00501E32">
        <w:rPr>
          <w:rFonts w:ascii="Times New Roman" w:hAnsi="Times New Roman" w:cs="Times New Roman"/>
        </w:rPr>
        <w:t xml:space="preserve"> art. 1369 c.c. e dell</w:t>
      </w:r>
      <w:r w:rsidR="00855E03">
        <w:rPr>
          <w:rFonts w:ascii="Times New Roman" w:hAnsi="Times New Roman" w:cs="Times New Roman"/>
        </w:rPr>
        <w:t>’</w:t>
      </w:r>
      <w:r w:rsidR="00034D60" w:rsidRPr="00501E32">
        <w:rPr>
          <w:rFonts w:ascii="Times New Roman" w:hAnsi="Times New Roman" w:cs="Times New Roman"/>
        </w:rPr>
        <w:t xml:space="preserve">interpretazione secondo buona fede </w:t>
      </w:r>
      <w:r w:rsidR="00034D60" w:rsidRPr="00501E32">
        <w:rPr>
          <w:rFonts w:ascii="Times New Roman" w:hAnsi="Times New Roman" w:cs="Times New Roman"/>
          <w:i/>
          <w:iCs/>
        </w:rPr>
        <w:t>ex</w:t>
      </w:r>
      <w:r w:rsidR="00034D60" w:rsidRPr="00501E32">
        <w:rPr>
          <w:rFonts w:ascii="Times New Roman" w:hAnsi="Times New Roman" w:cs="Times New Roman"/>
        </w:rPr>
        <w:t xml:space="preserve"> art. 1366 c.c., avuto riguardo allo “scopo pratico” perseguito dalle parti con la stipulazione del contatto, e quindi della relativa “causa concreta”: Cass. 17 novembre 2021, n. 34795.</w:t>
      </w:r>
    </w:p>
    <w:p w:rsidR="00D33143" w:rsidRPr="00501E32" w:rsidRDefault="00034D60" w:rsidP="00501E32">
      <w:pPr>
        <w:pStyle w:val="Testonotaapidipagina"/>
        <w:jc w:val="both"/>
        <w:rPr>
          <w:rFonts w:ascii="Times New Roman" w:hAnsi="Times New Roman" w:cs="Times New Roman"/>
        </w:rPr>
      </w:pPr>
      <w:r w:rsidRPr="00501E32">
        <w:rPr>
          <w:rFonts w:ascii="Times New Roman" w:hAnsi="Times New Roman" w:cs="Times New Roman"/>
        </w:rPr>
        <w:t xml:space="preserve">Per </w:t>
      </w:r>
      <w:r w:rsidR="008B3409" w:rsidRPr="00501E32">
        <w:rPr>
          <w:rFonts w:ascii="Times New Roman" w:hAnsi="Times New Roman" w:cs="Times New Roman"/>
        </w:rPr>
        <w:t xml:space="preserve">Gentili, </w:t>
      </w:r>
      <w:r w:rsidR="008B3409" w:rsidRPr="00501E32">
        <w:rPr>
          <w:rFonts w:ascii="Times New Roman" w:hAnsi="Times New Roman" w:cs="Times New Roman"/>
          <w:i/>
          <w:iCs/>
        </w:rPr>
        <w:t>Interpretazione del contratto</w:t>
      </w:r>
      <w:r w:rsidR="008B3409" w:rsidRPr="00501E32">
        <w:rPr>
          <w:rFonts w:ascii="Times New Roman" w:hAnsi="Times New Roman" w:cs="Times New Roman"/>
        </w:rPr>
        <w:t xml:space="preserve">, in </w:t>
      </w:r>
      <w:r w:rsidR="008B3409" w:rsidRPr="00501E32">
        <w:rPr>
          <w:rFonts w:ascii="Times New Roman" w:hAnsi="Times New Roman" w:cs="Times New Roman"/>
          <w:i/>
          <w:iCs/>
        </w:rPr>
        <w:t>Enciclopedia del diritto – I tematici</w:t>
      </w:r>
      <w:r w:rsidR="008B3409" w:rsidRPr="00501E32">
        <w:rPr>
          <w:rFonts w:ascii="Times New Roman" w:hAnsi="Times New Roman" w:cs="Times New Roman"/>
        </w:rPr>
        <w:t xml:space="preserve">, </w:t>
      </w:r>
      <w:r w:rsidR="008B3409" w:rsidRPr="00501E32">
        <w:rPr>
          <w:rFonts w:ascii="Times New Roman" w:hAnsi="Times New Roman" w:cs="Times New Roman"/>
          <w:i/>
          <w:iCs/>
        </w:rPr>
        <w:t>Contratto</w:t>
      </w:r>
      <w:r w:rsidR="008B3409" w:rsidRPr="00501E32">
        <w:rPr>
          <w:rFonts w:ascii="Times New Roman" w:hAnsi="Times New Roman" w:cs="Times New Roman"/>
        </w:rPr>
        <w:t xml:space="preserve">, </w:t>
      </w:r>
      <w:r w:rsidRPr="00501E32">
        <w:rPr>
          <w:rFonts w:ascii="Times New Roman" w:hAnsi="Times New Roman" w:cs="Times New Roman"/>
        </w:rPr>
        <w:t xml:space="preserve">Milano, 2021, </w:t>
      </w:r>
      <w:r w:rsidR="008B3409" w:rsidRPr="00501E32">
        <w:rPr>
          <w:rFonts w:ascii="Times New Roman" w:hAnsi="Times New Roman" w:cs="Times New Roman"/>
        </w:rPr>
        <w:t>a cura di G. D</w:t>
      </w:r>
      <w:r w:rsidR="00855E03">
        <w:rPr>
          <w:rFonts w:ascii="Times New Roman" w:hAnsi="Times New Roman" w:cs="Times New Roman"/>
        </w:rPr>
        <w:t>’</w:t>
      </w:r>
      <w:r w:rsidR="008B3409" w:rsidRPr="00501E32">
        <w:rPr>
          <w:rFonts w:ascii="Times New Roman" w:hAnsi="Times New Roman" w:cs="Times New Roman"/>
        </w:rPr>
        <w:t xml:space="preserve">Amico, </w:t>
      </w:r>
      <w:r w:rsidR="008B3409" w:rsidRPr="00501E32">
        <w:rPr>
          <w:rFonts w:ascii="Times New Roman" w:hAnsi="Times New Roman" w:cs="Times New Roman"/>
          <w:i/>
          <w:iCs/>
        </w:rPr>
        <w:t>Interpretazione del contratto</w:t>
      </w:r>
      <w:r w:rsidR="008B3409" w:rsidRPr="00501E32">
        <w:rPr>
          <w:rFonts w:ascii="Times New Roman" w:hAnsi="Times New Roman" w:cs="Times New Roman"/>
        </w:rPr>
        <w:t xml:space="preserve">, p. 636 ss. e particolarmente </w:t>
      </w:r>
      <w:r w:rsidRPr="00501E32">
        <w:rPr>
          <w:rFonts w:ascii="Times New Roman" w:hAnsi="Times New Roman" w:cs="Times New Roman"/>
        </w:rPr>
        <w:t xml:space="preserve">p. </w:t>
      </w:r>
      <w:r w:rsidR="008B3409" w:rsidRPr="00501E32">
        <w:rPr>
          <w:rFonts w:ascii="Times New Roman" w:hAnsi="Times New Roman" w:cs="Times New Roman"/>
        </w:rPr>
        <w:t>661, la gerarchia delle regole ermeneutiche non va intesa come ordine successivo di impiego delle tecniche interpretativa, ma deve essere riferita al “peso” degli argomenti che esse offrono.</w:t>
      </w:r>
    </w:p>
  </w:footnote>
  <w:footnote w:id="35">
    <w:p w:rsidR="00857769" w:rsidRPr="00501E32" w:rsidRDefault="00857769"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Distinzione, quest</w:t>
      </w:r>
      <w:r w:rsidR="00855E03">
        <w:rPr>
          <w:rFonts w:ascii="Times New Roman" w:hAnsi="Times New Roman" w:cs="Times New Roman"/>
        </w:rPr>
        <w:t>’</w:t>
      </w:r>
      <w:r w:rsidRPr="00501E32">
        <w:rPr>
          <w:rFonts w:ascii="Times New Roman" w:hAnsi="Times New Roman" w:cs="Times New Roman"/>
        </w:rPr>
        <w:t>ultima, rilevante nelle operazioni di cartolarizzazione con garanzia sulla cartolarizzazione delle sofferenze fornita dallo Stato (c.d. GACS).</w:t>
      </w:r>
      <w:r w:rsidR="008A04AE" w:rsidRPr="00501E32">
        <w:rPr>
          <w:rFonts w:ascii="Times New Roman" w:hAnsi="Times New Roman" w:cs="Times New Roman"/>
        </w:rPr>
        <w:t xml:space="preserve"> Sul tema si rinvia, in questo stesso volume, a Messina, </w:t>
      </w:r>
      <w:r w:rsidR="008A04AE" w:rsidRPr="00501E32">
        <w:rPr>
          <w:rFonts w:ascii="Times New Roman" w:hAnsi="Times New Roman" w:cs="Times New Roman"/>
          <w:i/>
          <w:iCs/>
        </w:rPr>
        <w:t>L</w:t>
      </w:r>
      <w:r w:rsidR="00855E03">
        <w:rPr>
          <w:rFonts w:ascii="Times New Roman" w:hAnsi="Times New Roman" w:cs="Times New Roman"/>
          <w:i/>
          <w:iCs/>
        </w:rPr>
        <w:t>’</w:t>
      </w:r>
      <w:r w:rsidR="008A04AE" w:rsidRPr="00501E32">
        <w:rPr>
          <w:rFonts w:ascii="Times New Roman" w:hAnsi="Times New Roman" w:cs="Times New Roman"/>
          <w:i/>
          <w:iCs/>
        </w:rPr>
        <w:t>uso delle garanzie pubbliche per la gestione dei crediti deteriorati</w:t>
      </w:r>
      <w:r w:rsidR="008A04AE" w:rsidRPr="00501E32">
        <w:rPr>
          <w:rFonts w:ascii="Times New Roman" w:hAnsi="Times New Roman" w:cs="Times New Roman"/>
        </w:rPr>
        <w:t xml:space="preserve">, e </w:t>
      </w:r>
      <w:r w:rsidR="008A04AE" w:rsidRPr="00501E32">
        <w:rPr>
          <w:rFonts w:ascii="Times New Roman" w:eastAsia="Times New Roman" w:hAnsi="Times New Roman" w:cs="Times New Roman"/>
          <w:color w:val="4B4B4C"/>
          <w:lang w:eastAsia="it-IT"/>
        </w:rPr>
        <w:t xml:space="preserve">Roscioni, </w:t>
      </w:r>
      <w:r w:rsidR="008A04AE" w:rsidRPr="00501E32">
        <w:rPr>
          <w:rFonts w:ascii="Times New Roman" w:eastAsia="Times New Roman" w:hAnsi="Times New Roman" w:cs="Times New Roman"/>
          <w:i/>
          <w:iCs/>
          <w:color w:val="4B4B4C"/>
          <w:lang w:eastAsia="it-IT"/>
        </w:rPr>
        <w:t>Le cartolarizzazioni di crediti in sofferenza con garanzia pubblica: strumento, modifiche e ruolo del servicer</w:t>
      </w:r>
      <w:r w:rsidR="008A04AE" w:rsidRPr="00501E32">
        <w:rPr>
          <w:rFonts w:ascii="Times New Roman" w:eastAsia="Times New Roman" w:hAnsi="Times New Roman" w:cs="Times New Roman"/>
          <w:color w:val="4B4B4C"/>
          <w:lang w:eastAsia="it-IT"/>
        </w:rPr>
        <w:t>.</w:t>
      </w:r>
    </w:p>
  </w:footnote>
  <w:footnote w:id="36">
    <w:p w:rsidR="00857769" w:rsidRPr="00501E32" w:rsidRDefault="00857769"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Torna d</w:t>
      </w:r>
      <w:r w:rsidR="00855E03">
        <w:rPr>
          <w:rFonts w:ascii="Times New Roman" w:hAnsi="Times New Roman" w:cs="Times New Roman"/>
        </w:rPr>
        <w:t>’</w:t>
      </w:r>
      <w:r w:rsidRPr="00501E32">
        <w:rPr>
          <w:rFonts w:ascii="Times New Roman" w:hAnsi="Times New Roman" w:cs="Times New Roman"/>
        </w:rPr>
        <w:t xml:space="preserve">attualità la remota intuizione di Scozzafava, </w:t>
      </w:r>
      <w:r w:rsidRPr="00501E32">
        <w:rPr>
          <w:rFonts w:ascii="Times New Roman" w:hAnsi="Times New Roman" w:cs="Times New Roman"/>
          <w:i/>
          <w:iCs/>
        </w:rPr>
        <w:t>I beni e le forme giuridiche di appartenenza</w:t>
      </w:r>
      <w:r w:rsidRPr="00501E32">
        <w:rPr>
          <w:rFonts w:ascii="Times New Roman" w:hAnsi="Times New Roman" w:cs="Times New Roman"/>
        </w:rPr>
        <w:t>, Milano, 1982, p. 1, secondo cui al momento attuale si assiste alla «</w:t>
      </w:r>
      <w:r w:rsidRPr="00501E32">
        <w:rPr>
          <w:rFonts w:ascii="Times New Roman" w:hAnsi="Times New Roman" w:cs="Times New Roman"/>
          <w:i/>
          <w:iCs/>
        </w:rPr>
        <w:t>continua creazione di nuove forme di ricchezza indotte dall</w:t>
      </w:r>
      <w:r w:rsidR="00855E03">
        <w:rPr>
          <w:rFonts w:ascii="Times New Roman" w:hAnsi="Times New Roman" w:cs="Times New Roman"/>
          <w:i/>
          <w:iCs/>
        </w:rPr>
        <w:t>’</w:t>
      </w:r>
      <w:r w:rsidRPr="00501E32">
        <w:rPr>
          <w:rFonts w:ascii="Times New Roman" w:hAnsi="Times New Roman" w:cs="Times New Roman"/>
          <w:i/>
          <w:iCs/>
        </w:rPr>
        <w:t>accelerato sviluppo economico, tipico delle economie capitalistiche</w:t>
      </w:r>
      <w:r w:rsidRPr="00501E32">
        <w:rPr>
          <w:rFonts w:ascii="Times New Roman" w:hAnsi="Times New Roman" w:cs="Times New Roman"/>
        </w:rPr>
        <w:t>».</w:t>
      </w:r>
      <w:r w:rsidR="00AC17D1" w:rsidRPr="00501E32">
        <w:rPr>
          <w:rFonts w:ascii="Times New Roman" w:hAnsi="Times New Roman" w:cs="Times New Roman"/>
        </w:rPr>
        <w:t xml:space="preserve"> </w:t>
      </w:r>
    </w:p>
  </w:footnote>
  <w:footnote w:id="37">
    <w:p w:rsidR="000407E2" w:rsidRPr="00501E32" w:rsidRDefault="00CE687D"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0407E2" w:rsidRPr="00501E32">
        <w:rPr>
          <w:rFonts w:ascii="Times New Roman" w:hAnsi="Times New Roman" w:cs="Times New Roman"/>
        </w:rPr>
        <w:t>La tutela aquiliana del credito ha fatto definitivo ingresso nell</w:t>
      </w:r>
      <w:r w:rsidR="00855E03">
        <w:rPr>
          <w:rFonts w:ascii="Times New Roman" w:hAnsi="Times New Roman" w:cs="Times New Roman"/>
        </w:rPr>
        <w:t>’</w:t>
      </w:r>
      <w:r w:rsidR="000407E2" w:rsidRPr="00501E32">
        <w:rPr>
          <w:rFonts w:ascii="Times New Roman" w:hAnsi="Times New Roman" w:cs="Times New Roman"/>
        </w:rPr>
        <w:t xml:space="preserve">elaborazione giurisprudenziale con Cass. Sez. un. 30 marzo 1972, n. 1008, in </w:t>
      </w:r>
      <w:r w:rsidR="000407E2" w:rsidRPr="00501E32">
        <w:rPr>
          <w:rFonts w:ascii="Times New Roman" w:hAnsi="Times New Roman" w:cs="Times New Roman"/>
          <w:i/>
          <w:iCs/>
        </w:rPr>
        <w:t>Foro italiano</w:t>
      </w:r>
      <w:r w:rsidR="000407E2" w:rsidRPr="00501E32">
        <w:rPr>
          <w:rFonts w:ascii="Times New Roman" w:hAnsi="Times New Roman" w:cs="Times New Roman"/>
        </w:rPr>
        <w:t xml:space="preserve">, 1972, 1, p. 880. Di recente si vedano, in diversi ambiti: Perrino, </w:t>
      </w:r>
      <w:r w:rsidR="000407E2" w:rsidRPr="00501E32">
        <w:rPr>
          <w:rFonts w:ascii="Times New Roman" w:hAnsi="Times New Roman" w:cs="Times New Roman"/>
          <w:i/>
          <w:iCs/>
        </w:rPr>
        <w:t>Tutela aquiliana del credito nell</w:t>
      </w:r>
      <w:r w:rsidR="00855E03">
        <w:rPr>
          <w:rFonts w:ascii="Times New Roman" w:hAnsi="Times New Roman" w:cs="Times New Roman"/>
          <w:i/>
          <w:iCs/>
        </w:rPr>
        <w:t>’</w:t>
      </w:r>
      <w:r w:rsidR="000407E2" w:rsidRPr="00501E32">
        <w:rPr>
          <w:rFonts w:ascii="Times New Roman" w:hAnsi="Times New Roman" w:cs="Times New Roman"/>
          <w:i/>
          <w:iCs/>
        </w:rPr>
        <w:t>ipotesi di cooperazione del terzo all</w:t>
      </w:r>
      <w:r w:rsidR="00855E03">
        <w:rPr>
          <w:rFonts w:ascii="Times New Roman" w:hAnsi="Times New Roman" w:cs="Times New Roman"/>
          <w:i/>
          <w:iCs/>
        </w:rPr>
        <w:t>’</w:t>
      </w:r>
      <w:r w:rsidR="000407E2" w:rsidRPr="00501E32">
        <w:rPr>
          <w:rFonts w:ascii="Times New Roman" w:hAnsi="Times New Roman" w:cs="Times New Roman"/>
          <w:i/>
          <w:iCs/>
        </w:rPr>
        <w:t>inadempimento dell</w:t>
      </w:r>
      <w:r w:rsidR="00855E03">
        <w:rPr>
          <w:rFonts w:ascii="Times New Roman" w:hAnsi="Times New Roman" w:cs="Times New Roman"/>
          <w:i/>
          <w:iCs/>
        </w:rPr>
        <w:t>’</w:t>
      </w:r>
      <w:r w:rsidR="000407E2" w:rsidRPr="00501E32">
        <w:rPr>
          <w:rFonts w:ascii="Times New Roman" w:hAnsi="Times New Roman" w:cs="Times New Roman"/>
          <w:i/>
          <w:iCs/>
        </w:rPr>
        <w:t>amministratore di società</w:t>
      </w:r>
      <w:r w:rsidR="000407E2" w:rsidRPr="00501E32">
        <w:rPr>
          <w:rFonts w:ascii="Times New Roman" w:hAnsi="Times New Roman" w:cs="Times New Roman"/>
        </w:rPr>
        <w:t xml:space="preserve">, in </w:t>
      </w:r>
      <w:r w:rsidR="000407E2" w:rsidRPr="00501E32">
        <w:rPr>
          <w:rFonts w:ascii="Times New Roman" w:hAnsi="Times New Roman" w:cs="Times New Roman"/>
          <w:i/>
          <w:iCs/>
        </w:rPr>
        <w:t>Le società</w:t>
      </w:r>
      <w:r w:rsidR="000407E2" w:rsidRPr="00501E32">
        <w:rPr>
          <w:rFonts w:ascii="Times New Roman" w:hAnsi="Times New Roman" w:cs="Times New Roman"/>
        </w:rPr>
        <w:t xml:space="preserve">, 2012, p. 511; Scalera, </w:t>
      </w:r>
      <w:r w:rsidR="000407E2" w:rsidRPr="00501E32">
        <w:rPr>
          <w:rFonts w:ascii="Times New Roman" w:hAnsi="Times New Roman" w:cs="Times New Roman"/>
          <w:i/>
          <w:iCs/>
        </w:rPr>
        <w:t>La tutela aquiliana dell</w:t>
      </w:r>
      <w:r w:rsidR="00855E03">
        <w:rPr>
          <w:rFonts w:ascii="Times New Roman" w:hAnsi="Times New Roman" w:cs="Times New Roman"/>
          <w:i/>
          <w:iCs/>
        </w:rPr>
        <w:t>’</w:t>
      </w:r>
      <w:r w:rsidR="000407E2" w:rsidRPr="00501E32">
        <w:rPr>
          <w:rFonts w:ascii="Times New Roman" w:hAnsi="Times New Roman" w:cs="Times New Roman"/>
          <w:i/>
          <w:iCs/>
        </w:rPr>
        <w:t>assegno di mantenimento del coniuge: luci e ombre</w:t>
      </w:r>
      <w:r w:rsidR="000407E2" w:rsidRPr="00501E32">
        <w:rPr>
          <w:rFonts w:ascii="Times New Roman" w:hAnsi="Times New Roman" w:cs="Times New Roman"/>
        </w:rPr>
        <w:t xml:space="preserve">, in </w:t>
      </w:r>
      <w:r w:rsidR="000407E2" w:rsidRPr="00501E32">
        <w:rPr>
          <w:rFonts w:ascii="Times New Roman" w:hAnsi="Times New Roman" w:cs="Times New Roman"/>
          <w:i/>
          <w:iCs/>
        </w:rPr>
        <w:t>Famiglia e Diritto</w:t>
      </w:r>
      <w:r w:rsidR="000407E2" w:rsidRPr="00501E32">
        <w:rPr>
          <w:rFonts w:ascii="Times New Roman" w:hAnsi="Times New Roman" w:cs="Times New Roman"/>
        </w:rPr>
        <w:t xml:space="preserve">, 2017, p. 1121; Caligiuri, </w:t>
      </w:r>
      <w:r w:rsidR="000407E2" w:rsidRPr="00501E32">
        <w:rPr>
          <w:rFonts w:ascii="Times New Roman" w:hAnsi="Times New Roman" w:cs="Times New Roman"/>
          <w:i/>
          <w:iCs/>
        </w:rPr>
        <w:t>La lesione del diritto di credito del datore di lavoro per effetto dell</w:t>
      </w:r>
      <w:r w:rsidR="00855E03">
        <w:rPr>
          <w:rFonts w:ascii="Times New Roman" w:hAnsi="Times New Roman" w:cs="Times New Roman"/>
          <w:i/>
          <w:iCs/>
        </w:rPr>
        <w:t>’</w:t>
      </w:r>
      <w:r w:rsidR="000407E2" w:rsidRPr="00501E32">
        <w:rPr>
          <w:rFonts w:ascii="Times New Roman" w:hAnsi="Times New Roman" w:cs="Times New Roman"/>
          <w:i/>
          <w:iCs/>
        </w:rPr>
        <w:t>invalidità temporanea del dipendente procurata dal terzo</w:t>
      </w:r>
      <w:r w:rsidR="000407E2" w:rsidRPr="00501E32">
        <w:rPr>
          <w:rFonts w:ascii="Times New Roman" w:hAnsi="Times New Roman" w:cs="Times New Roman"/>
        </w:rPr>
        <w:t xml:space="preserve">, in </w:t>
      </w:r>
      <w:r w:rsidR="000407E2" w:rsidRPr="00501E32">
        <w:rPr>
          <w:rFonts w:ascii="Times New Roman" w:hAnsi="Times New Roman" w:cs="Times New Roman"/>
          <w:i/>
          <w:iCs/>
        </w:rPr>
        <w:t>Giurisprudenza di merito</w:t>
      </w:r>
      <w:r w:rsidR="000407E2" w:rsidRPr="00501E32">
        <w:rPr>
          <w:rFonts w:ascii="Times New Roman" w:hAnsi="Times New Roman" w:cs="Times New Roman"/>
        </w:rPr>
        <w:t>, 1995, p. 248.</w:t>
      </w:r>
    </w:p>
  </w:footnote>
  <w:footnote w:id="38">
    <w:p w:rsidR="00107CFC" w:rsidRPr="00501E32" w:rsidRDefault="00107CFC"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Cass. 15 giugno 2020, n. 11583, con nota di Inzitari, </w:t>
      </w:r>
      <w:r w:rsidRPr="00501E32">
        <w:rPr>
          <w:rFonts w:ascii="Times New Roman" w:hAnsi="Times New Roman" w:cs="Times New Roman"/>
          <w:i/>
          <w:iCs/>
        </w:rPr>
        <w:t>Valore attuale e prospettico della garanzia nella circolazione dei crediti e tutela risarcitoria per il cessionario</w:t>
      </w:r>
      <w:r w:rsidRPr="00501E32">
        <w:rPr>
          <w:rFonts w:ascii="Times New Roman" w:hAnsi="Times New Roman" w:cs="Times New Roman"/>
        </w:rPr>
        <w:t xml:space="preserve">, in </w:t>
      </w:r>
      <w:r w:rsidRPr="00501E32">
        <w:rPr>
          <w:rFonts w:ascii="Times New Roman" w:hAnsi="Times New Roman" w:cs="Times New Roman"/>
          <w:i/>
          <w:iCs/>
        </w:rPr>
        <w:t>https://inexecutivis.it/approfondimenti/2020/giugno/valore-attuale-e-prospettico-della-garanzia-nella-circolazione-dei-crediti-e-tutela-risarcitoria-per-il-cessionario/</w:t>
      </w:r>
    </w:p>
  </w:footnote>
  <w:footnote w:id="39">
    <w:p w:rsidR="00A3113C" w:rsidRPr="00501E32" w:rsidRDefault="00A3113C"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w:t>
      </w:r>
      <w:r w:rsidR="00062376" w:rsidRPr="00501E32">
        <w:rPr>
          <w:rFonts w:ascii="Times New Roman" w:hAnsi="Times New Roman" w:cs="Times New Roman"/>
        </w:rPr>
        <w:t xml:space="preserve">Correttamente Inzitari, </w:t>
      </w:r>
      <w:proofErr w:type="spellStart"/>
      <w:r w:rsidR="00062376" w:rsidRPr="00501E32">
        <w:rPr>
          <w:rFonts w:ascii="Times New Roman" w:hAnsi="Times New Roman" w:cs="Times New Roman"/>
          <w:i/>
          <w:iCs/>
        </w:rPr>
        <w:t>loc</w:t>
      </w:r>
      <w:proofErr w:type="spellEnd"/>
      <w:r w:rsidR="00062376" w:rsidRPr="00501E32">
        <w:rPr>
          <w:rFonts w:ascii="Times New Roman" w:hAnsi="Times New Roman" w:cs="Times New Roman"/>
          <w:i/>
          <w:iCs/>
        </w:rPr>
        <w:t>. cit.</w:t>
      </w:r>
      <w:r w:rsidR="00062376" w:rsidRPr="00501E32">
        <w:rPr>
          <w:rFonts w:ascii="Times New Roman" w:hAnsi="Times New Roman" w:cs="Times New Roman"/>
        </w:rPr>
        <w:t>, osserva: «</w:t>
      </w:r>
      <w:r w:rsidR="00062376" w:rsidRPr="00501E32">
        <w:rPr>
          <w:rFonts w:ascii="Times New Roman" w:hAnsi="Times New Roman" w:cs="Times New Roman"/>
          <w:i/>
          <w:iCs/>
        </w:rPr>
        <w:t>la Corte ha preso in esame la fattispecie del credito assistito da garanzia reale, ma non sarebbe diverso in caso di garanzia personale</w:t>
      </w:r>
      <w:r w:rsidR="00062376" w:rsidRPr="00501E32">
        <w:rPr>
          <w:rFonts w:ascii="Times New Roman" w:hAnsi="Times New Roman" w:cs="Times New Roman"/>
        </w:rPr>
        <w:t>».</w:t>
      </w:r>
    </w:p>
  </w:footnote>
  <w:footnote w:id="40">
    <w:p w:rsidR="00DE7E57" w:rsidRPr="00501E32" w:rsidRDefault="00DE7E57" w:rsidP="00501E32">
      <w:pPr>
        <w:pStyle w:val="Testonotaapidipagina"/>
        <w:jc w:val="both"/>
        <w:rPr>
          <w:rFonts w:ascii="Times New Roman" w:hAnsi="Times New Roman" w:cs="Times New Roman"/>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Si rimanda a quanto illustrato in precedenza, par. 1.</w:t>
      </w:r>
    </w:p>
  </w:footnote>
  <w:footnote w:id="41">
    <w:p w:rsidR="006A6E59" w:rsidRPr="00501E32" w:rsidRDefault="006A6E59" w:rsidP="00501E32">
      <w:pPr>
        <w:pStyle w:val="Testonotaapidipagina"/>
        <w:jc w:val="both"/>
        <w:rPr>
          <w:rFonts w:ascii="Times New Roman" w:hAnsi="Times New Roman" w:cs="Times New Roman"/>
          <w:i/>
          <w:iCs/>
        </w:rPr>
      </w:pPr>
      <w:r w:rsidRPr="00501E32">
        <w:rPr>
          <w:rStyle w:val="Rimandonotaapidipagina"/>
          <w:rFonts w:ascii="Times New Roman" w:hAnsi="Times New Roman" w:cs="Times New Roman"/>
        </w:rPr>
        <w:footnoteRef/>
      </w:r>
      <w:r w:rsidRPr="00501E32">
        <w:rPr>
          <w:rFonts w:ascii="Times New Roman" w:hAnsi="Times New Roman" w:cs="Times New Roman"/>
        </w:rPr>
        <w:t xml:space="preserve"> Inzitari, </w:t>
      </w:r>
      <w:proofErr w:type="spellStart"/>
      <w:r w:rsidRPr="00501E32">
        <w:rPr>
          <w:rFonts w:ascii="Times New Roman" w:hAnsi="Times New Roman" w:cs="Times New Roman"/>
          <w:i/>
          <w:iCs/>
        </w:rPr>
        <w:t>loc</w:t>
      </w:r>
      <w:proofErr w:type="spellEnd"/>
      <w:r w:rsidRPr="00501E32">
        <w:rPr>
          <w:rFonts w:ascii="Times New Roman" w:hAnsi="Times New Roman" w:cs="Times New Roman"/>
          <w:i/>
          <w:iCs/>
        </w:rPr>
        <w:t>. cit.</w:t>
      </w:r>
      <w:r w:rsidRPr="00501E32">
        <w:rPr>
          <w:rFonts w:ascii="Times New Roman" w:hAnsi="Times New Roman" w:cs="Times New Roman"/>
        </w:rPr>
        <w:t>, osserva: «</w:t>
      </w:r>
      <w:r w:rsidRPr="00501E32">
        <w:rPr>
          <w:rFonts w:ascii="Times New Roman" w:hAnsi="Times New Roman" w:cs="Times New Roman"/>
          <w:i/>
          <w:iCs/>
        </w:rPr>
        <w:t>L</w:t>
      </w:r>
      <w:r w:rsidR="00855E03">
        <w:rPr>
          <w:rFonts w:ascii="Times New Roman" w:hAnsi="Times New Roman" w:cs="Times New Roman"/>
          <w:i/>
          <w:iCs/>
        </w:rPr>
        <w:t>’</w:t>
      </w:r>
      <w:r w:rsidRPr="00501E32">
        <w:rPr>
          <w:rFonts w:ascii="Times New Roman" w:hAnsi="Times New Roman" w:cs="Times New Roman"/>
          <w:i/>
          <w:iCs/>
        </w:rPr>
        <w:t>effettivo valore dei crediti è strettamente correlato alla concreta probabilità che il debitore possa regolarmente adempiere all</w:t>
      </w:r>
      <w:r w:rsidR="00855E03">
        <w:rPr>
          <w:rFonts w:ascii="Times New Roman" w:hAnsi="Times New Roman" w:cs="Times New Roman"/>
          <w:i/>
          <w:iCs/>
        </w:rPr>
        <w:t>’</w:t>
      </w:r>
      <w:r w:rsidRPr="00501E32">
        <w:rPr>
          <w:rFonts w:ascii="Times New Roman" w:hAnsi="Times New Roman" w:cs="Times New Roman"/>
          <w:i/>
          <w:iCs/>
        </w:rPr>
        <w:t>obbligazione. Su questo influiscono diversi fattori. Nel caso in cui il debitore continui a svolgere un</w:t>
      </w:r>
      <w:r w:rsidR="00855E03">
        <w:rPr>
          <w:rFonts w:ascii="Times New Roman" w:hAnsi="Times New Roman" w:cs="Times New Roman"/>
          <w:i/>
          <w:iCs/>
        </w:rPr>
        <w:t>’</w:t>
      </w:r>
      <w:r w:rsidRPr="00501E32">
        <w:rPr>
          <w:rFonts w:ascii="Times New Roman" w:hAnsi="Times New Roman" w:cs="Times New Roman"/>
          <w:i/>
          <w:iCs/>
        </w:rPr>
        <w:t>attività economica, le sue capacità di adempimento potranno essere alimentate dai ricavi che man mano sarà in grado di generare. Se, al contrario il debitore ha cessato ogni attività, le possibilità di soddisfazione del credito si restringono al valore cristallizzato del suo patrimonio rispetto alla esposizione debitoria concorsuale.</w:t>
      </w:r>
    </w:p>
    <w:p w:rsidR="006A6E59" w:rsidRPr="00501E32" w:rsidRDefault="006A6E59" w:rsidP="00501E32">
      <w:pPr>
        <w:pStyle w:val="Testonotaapidipagina"/>
        <w:jc w:val="both"/>
        <w:rPr>
          <w:rFonts w:ascii="Times New Roman" w:hAnsi="Times New Roman" w:cs="Times New Roman"/>
          <w:i/>
          <w:iCs/>
        </w:rPr>
      </w:pPr>
      <w:r w:rsidRPr="00501E32">
        <w:rPr>
          <w:rFonts w:ascii="Times New Roman" w:hAnsi="Times New Roman" w:cs="Times New Roman"/>
          <w:i/>
          <w:iCs/>
        </w:rPr>
        <w:t>L</w:t>
      </w:r>
      <w:r w:rsidR="00855E03">
        <w:rPr>
          <w:rFonts w:ascii="Times New Roman" w:hAnsi="Times New Roman" w:cs="Times New Roman"/>
          <w:i/>
          <w:iCs/>
        </w:rPr>
        <w:t>’</w:t>
      </w:r>
      <w:r w:rsidRPr="00501E32">
        <w:rPr>
          <w:rFonts w:ascii="Times New Roman" w:hAnsi="Times New Roman" w:cs="Times New Roman"/>
          <w:i/>
          <w:iCs/>
        </w:rPr>
        <w:t>adempimento del debitore trova infatti il suo limite nella effettiva capacità patrimoniale e nella capienza del patrimonio del debitore rispetto al concorso dei creditori. Sono pertanto le garanzie poste al servizio del credito a consentire il mantenimento di una prospettiva di soddisfazione per il creditore.</w:t>
      </w:r>
    </w:p>
    <w:p w:rsidR="006A6E59" w:rsidRPr="00501E32" w:rsidRDefault="006A6E59" w:rsidP="00501E32">
      <w:pPr>
        <w:pStyle w:val="Testonotaapidipagina"/>
        <w:jc w:val="both"/>
        <w:rPr>
          <w:rFonts w:ascii="Times New Roman" w:hAnsi="Times New Roman" w:cs="Times New Roman"/>
        </w:rPr>
      </w:pPr>
      <w:r w:rsidRPr="00501E32">
        <w:rPr>
          <w:rFonts w:ascii="Times New Roman" w:hAnsi="Times New Roman" w:cs="Times New Roman"/>
          <w:i/>
          <w:iCs/>
        </w:rPr>
        <w:t>In tale prospettiva l</w:t>
      </w:r>
      <w:r w:rsidR="00855E03">
        <w:rPr>
          <w:rFonts w:ascii="Times New Roman" w:hAnsi="Times New Roman" w:cs="Times New Roman"/>
          <w:i/>
          <w:iCs/>
        </w:rPr>
        <w:t>’</w:t>
      </w:r>
      <w:r w:rsidRPr="00501E32">
        <w:rPr>
          <w:rFonts w:ascii="Times New Roman" w:hAnsi="Times New Roman" w:cs="Times New Roman"/>
          <w:i/>
          <w:iCs/>
        </w:rPr>
        <w:t>apprezzamento del credito in termini di valore di circolazione, come rilevato dalla sentenza in commento, è strettamente dipendente dalla qualità e tenuta della garanzia che assiste il credito, la quale assume un ruolo assorbente anche rispetto all</w:t>
      </w:r>
      <w:r w:rsidR="00855E03">
        <w:rPr>
          <w:rFonts w:ascii="Times New Roman" w:hAnsi="Times New Roman" w:cs="Times New Roman"/>
          <w:i/>
          <w:iCs/>
        </w:rPr>
        <w:t>’</w:t>
      </w:r>
      <w:r w:rsidRPr="00501E32">
        <w:rPr>
          <w:rFonts w:ascii="Times New Roman" w:hAnsi="Times New Roman" w:cs="Times New Roman"/>
          <w:i/>
          <w:iCs/>
        </w:rPr>
        <w:t>importo nominale del credito ed al livello di solvibilità del debitore</w:t>
      </w:r>
      <w:r w:rsidRPr="00501E32">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EF"/>
    <w:rsid w:val="00030E94"/>
    <w:rsid w:val="00034D60"/>
    <w:rsid w:val="00035818"/>
    <w:rsid w:val="000407E2"/>
    <w:rsid w:val="00062376"/>
    <w:rsid w:val="000837AC"/>
    <w:rsid w:val="00087694"/>
    <w:rsid w:val="000934EF"/>
    <w:rsid w:val="0009522A"/>
    <w:rsid w:val="000D3B81"/>
    <w:rsid w:val="000F567C"/>
    <w:rsid w:val="001043C6"/>
    <w:rsid w:val="0010556B"/>
    <w:rsid w:val="00107CFC"/>
    <w:rsid w:val="00122328"/>
    <w:rsid w:val="00123AA2"/>
    <w:rsid w:val="001427E0"/>
    <w:rsid w:val="0014713E"/>
    <w:rsid w:val="001742DA"/>
    <w:rsid w:val="00176DE9"/>
    <w:rsid w:val="001C3328"/>
    <w:rsid w:val="001D03F1"/>
    <w:rsid w:val="001D35C2"/>
    <w:rsid w:val="001D56B7"/>
    <w:rsid w:val="00214F48"/>
    <w:rsid w:val="0022582D"/>
    <w:rsid w:val="0023451A"/>
    <w:rsid w:val="002347FD"/>
    <w:rsid w:val="00235596"/>
    <w:rsid w:val="00235D51"/>
    <w:rsid w:val="0025795D"/>
    <w:rsid w:val="002E3F3A"/>
    <w:rsid w:val="00313B3C"/>
    <w:rsid w:val="00321F2D"/>
    <w:rsid w:val="00333B46"/>
    <w:rsid w:val="0039009B"/>
    <w:rsid w:val="003B5F67"/>
    <w:rsid w:val="003E3FE9"/>
    <w:rsid w:val="00416070"/>
    <w:rsid w:val="00420515"/>
    <w:rsid w:val="00455FC5"/>
    <w:rsid w:val="004832F8"/>
    <w:rsid w:val="00490722"/>
    <w:rsid w:val="004F15A4"/>
    <w:rsid w:val="00501E32"/>
    <w:rsid w:val="00541378"/>
    <w:rsid w:val="00571309"/>
    <w:rsid w:val="005B0B1B"/>
    <w:rsid w:val="005C1BF3"/>
    <w:rsid w:val="005C7F90"/>
    <w:rsid w:val="005D6143"/>
    <w:rsid w:val="005E1D1F"/>
    <w:rsid w:val="005F138E"/>
    <w:rsid w:val="00610965"/>
    <w:rsid w:val="00614965"/>
    <w:rsid w:val="006202BC"/>
    <w:rsid w:val="00631B15"/>
    <w:rsid w:val="00631C46"/>
    <w:rsid w:val="006323C1"/>
    <w:rsid w:val="0063347B"/>
    <w:rsid w:val="006A694E"/>
    <w:rsid w:val="006A6E59"/>
    <w:rsid w:val="006E0B34"/>
    <w:rsid w:val="007129CD"/>
    <w:rsid w:val="0074725F"/>
    <w:rsid w:val="00776905"/>
    <w:rsid w:val="00793F25"/>
    <w:rsid w:val="007C18AC"/>
    <w:rsid w:val="007D5366"/>
    <w:rsid w:val="008451F7"/>
    <w:rsid w:val="00855E03"/>
    <w:rsid w:val="00857769"/>
    <w:rsid w:val="0087481F"/>
    <w:rsid w:val="008A04AE"/>
    <w:rsid w:val="008A6E92"/>
    <w:rsid w:val="008B3409"/>
    <w:rsid w:val="008B714F"/>
    <w:rsid w:val="008F3A76"/>
    <w:rsid w:val="00991F20"/>
    <w:rsid w:val="009940B4"/>
    <w:rsid w:val="009C0964"/>
    <w:rsid w:val="00A00780"/>
    <w:rsid w:val="00A16E0D"/>
    <w:rsid w:val="00A259F0"/>
    <w:rsid w:val="00A3113C"/>
    <w:rsid w:val="00A51068"/>
    <w:rsid w:val="00A64580"/>
    <w:rsid w:val="00A844C4"/>
    <w:rsid w:val="00AA3255"/>
    <w:rsid w:val="00AB6935"/>
    <w:rsid w:val="00AC17D1"/>
    <w:rsid w:val="00AC2136"/>
    <w:rsid w:val="00AF42A3"/>
    <w:rsid w:val="00B0365F"/>
    <w:rsid w:val="00B106E0"/>
    <w:rsid w:val="00B43AB2"/>
    <w:rsid w:val="00B6214B"/>
    <w:rsid w:val="00B90C64"/>
    <w:rsid w:val="00BB59C7"/>
    <w:rsid w:val="00C047C6"/>
    <w:rsid w:val="00C2331A"/>
    <w:rsid w:val="00C464D5"/>
    <w:rsid w:val="00C47B40"/>
    <w:rsid w:val="00C503C5"/>
    <w:rsid w:val="00C66B6E"/>
    <w:rsid w:val="00CA1D67"/>
    <w:rsid w:val="00CB3AF9"/>
    <w:rsid w:val="00CE06F4"/>
    <w:rsid w:val="00CE687D"/>
    <w:rsid w:val="00CE6AD0"/>
    <w:rsid w:val="00D02482"/>
    <w:rsid w:val="00D33143"/>
    <w:rsid w:val="00D468DA"/>
    <w:rsid w:val="00D527C0"/>
    <w:rsid w:val="00D57F61"/>
    <w:rsid w:val="00DA5DB2"/>
    <w:rsid w:val="00DD004B"/>
    <w:rsid w:val="00DE7E57"/>
    <w:rsid w:val="00E64494"/>
    <w:rsid w:val="00E70EAC"/>
    <w:rsid w:val="00E8053C"/>
    <w:rsid w:val="00E83F3B"/>
    <w:rsid w:val="00EA1C41"/>
    <w:rsid w:val="00EB3667"/>
    <w:rsid w:val="00F417FD"/>
    <w:rsid w:val="00F55EE4"/>
    <w:rsid w:val="00F57B8C"/>
    <w:rsid w:val="00F66CAB"/>
    <w:rsid w:val="00F87173"/>
    <w:rsid w:val="00FA39B3"/>
    <w:rsid w:val="00FA56A4"/>
    <w:rsid w:val="00FD17CC"/>
    <w:rsid w:val="00FF2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C30B"/>
  <w15:docId w15:val="{8CA39675-AB69-1B46-9E3F-94374560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23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AB6935"/>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062376"/>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9009B"/>
    <w:rPr>
      <w:sz w:val="20"/>
      <w:szCs w:val="20"/>
    </w:rPr>
  </w:style>
  <w:style w:type="character" w:customStyle="1" w:styleId="TestonotaapidipaginaCarattere">
    <w:name w:val="Testo nota a piè di pagina Carattere"/>
    <w:basedOn w:val="Carpredefinitoparagrafo"/>
    <w:link w:val="Testonotaapidipagina"/>
    <w:uiPriority w:val="99"/>
    <w:rsid w:val="0039009B"/>
    <w:rPr>
      <w:sz w:val="20"/>
      <w:szCs w:val="20"/>
    </w:rPr>
  </w:style>
  <w:style w:type="character" w:styleId="Rimandonotaapidipagina">
    <w:name w:val="footnote reference"/>
    <w:basedOn w:val="Carpredefinitoparagrafo"/>
    <w:uiPriority w:val="99"/>
    <w:semiHidden/>
    <w:unhideWhenUsed/>
    <w:rsid w:val="0039009B"/>
    <w:rPr>
      <w:vertAlign w:val="superscript"/>
    </w:rPr>
  </w:style>
  <w:style w:type="character" w:customStyle="1" w:styleId="Titolo2Carattere">
    <w:name w:val="Titolo 2 Carattere"/>
    <w:basedOn w:val="Carpredefinitoparagrafo"/>
    <w:link w:val="Titolo2"/>
    <w:uiPriority w:val="9"/>
    <w:rsid w:val="00AB6935"/>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F87173"/>
    <w:rPr>
      <w:color w:val="0563C1" w:themeColor="hyperlink"/>
      <w:u w:val="single"/>
    </w:rPr>
  </w:style>
  <w:style w:type="character" w:styleId="Menzionenonrisolta">
    <w:name w:val="Unresolved Mention"/>
    <w:basedOn w:val="Carpredefinitoparagrafo"/>
    <w:uiPriority w:val="99"/>
    <w:semiHidden/>
    <w:unhideWhenUsed/>
    <w:rsid w:val="00F87173"/>
    <w:rPr>
      <w:color w:val="605E5C"/>
      <w:shd w:val="clear" w:color="auto" w:fill="E1DFDD"/>
    </w:rPr>
  </w:style>
  <w:style w:type="character" w:customStyle="1" w:styleId="apple-converted-space">
    <w:name w:val="apple-converted-space"/>
    <w:basedOn w:val="Carpredefinitoparagrafo"/>
    <w:rsid w:val="00B6214B"/>
  </w:style>
  <w:style w:type="character" w:styleId="Enfasicorsivo">
    <w:name w:val="Emphasis"/>
    <w:basedOn w:val="Carpredefinitoparagrafo"/>
    <w:uiPriority w:val="20"/>
    <w:qFormat/>
    <w:rsid w:val="0022582D"/>
    <w:rPr>
      <w:i/>
      <w:iCs/>
    </w:rPr>
  </w:style>
  <w:style w:type="character" w:styleId="Collegamentovisitato">
    <w:name w:val="FollowedHyperlink"/>
    <w:basedOn w:val="Carpredefinitoparagrafo"/>
    <w:uiPriority w:val="99"/>
    <w:semiHidden/>
    <w:unhideWhenUsed/>
    <w:rsid w:val="00AA3255"/>
    <w:rPr>
      <w:color w:val="954F72" w:themeColor="followedHyperlink"/>
      <w:u w:val="single"/>
    </w:rPr>
  </w:style>
  <w:style w:type="character" w:customStyle="1" w:styleId="Titolo1Carattere">
    <w:name w:val="Titolo 1 Carattere"/>
    <w:basedOn w:val="Carpredefinitoparagrafo"/>
    <w:link w:val="Titolo1"/>
    <w:uiPriority w:val="9"/>
    <w:rsid w:val="0006237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6237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8361">
      <w:bodyDiv w:val="1"/>
      <w:marLeft w:val="0"/>
      <w:marRight w:val="0"/>
      <w:marTop w:val="0"/>
      <w:marBottom w:val="0"/>
      <w:divBdr>
        <w:top w:val="none" w:sz="0" w:space="0" w:color="auto"/>
        <w:left w:val="none" w:sz="0" w:space="0" w:color="auto"/>
        <w:bottom w:val="none" w:sz="0" w:space="0" w:color="auto"/>
        <w:right w:val="none" w:sz="0" w:space="0" w:color="auto"/>
      </w:divBdr>
    </w:div>
    <w:div w:id="433137049">
      <w:bodyDiv w:val="1"/>
      <w:marLeft w:val="0"/>
      <w:marRight w:val="0"/>
      <w:marTop w:val="0"/>
      <w:marBottom w:val="0"/>
      <w:divBdr>
        <w:top w:val="none" w:sz="0" w:space="0" w:color="auto"/>
        <w:left w:val="none" w:sz="0" w:space="0" w:color="auto"/>
        <w:bottom w:val="none" w:sz="0" w:space="0" w:color="auto"/>
        <w:right w:val="none" w:sz="0" w:space="0" w:color="auto"/>
      </w:divBdr>
      <w:divsChild>
        <w:div w:id="406153387">
          <w:marLeft w:val="0"/>
          <w:marRight w:val="0"/>
          <w:marTop w:val="0"/>
          <w:marBottom w:val="0"/>
          <w:divBdr>
            <w:top w:val="none" w:sz="0" w:space="0" w:color="auto"/>
            <w:left w:val="none" w:sz="0" w:space="0" w:color="auto"/>
            <w:bottom w:val="none" w:sz="0" w:space="0" w:color="auto"/>
            <w:right w:val="none" w:sz="0" w:space="0" w:color="auto"/>
          </w:divBdr>
          <w:divsChild>
            <w:div w:id="593435353">
              <w:marLeft w:val="0"/>
              <w:marRight w:val="0"/>
              <w:marTop w:val="0"/>
              <w:marBottom w:val="0"/>
              <w:divBdr>
                <w:top w:val="none" w:sz="0" w:space="0" w:color="auto"/>
                <w:left w:val="none" w:sz="0" w:space="0" w:color="auto"/>
                <w:bottom w:val="none" w:sz="0" w:space="0" w:color="auto"/>
                <w:right w:val="none" w:sz="0" w:space="0" w:color="auto"/>
              </w:divBdr>
              <w:divsChild>
                <w:div w:id="514922919">
                  <w:marLeft w:val="0"/>
                  <w:marRight w:val="0"/>
                  <w:marTop w:val="0"/>
                  <w:marBottom w:val="0"/>
                  <w:divBdr>
                    <w:top w:val="none" w:sz="0" w:space="0" w:color="auto"/>
                    <w:left w:val="none" w:sz="0" w:space="0" w:color="auto"/>
                    <w:bottom w:val="none" w:sz="0" w:space="0" w:color="auto"/>
                    <w:right w:val="none" w:sz="0" w:space="0" w:color="auto"/>
                  </w:divBdr>
                  <w:divsChild>
                    <w:div w:id="1848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8140">
      <w:bodyDiv w:val="1"/>
      <w:marLeft w:val="0"/>
      <w:marRight w:val="0"/>
      <w:marTop w:val="0"/>
      <w:marBottom w:val="0"/>
      <w:divBdr>
        <w:top w:val="none" w:sz="0" w:space="0" w:color="auto"/>
        <w:left w:val="none" w:sz="0" w:space="0" w:color="auto"/>
        <w:bottom w:val="none" w:sz="0" w:space="0" w:color="auto"/>
        <w:right w:val="none" w:sz="0" w:space="0" w:color="auto"/>
      </w:divBdr>
      <w:divsChild>
        <w:div w:id="1365211996">
          <w:marLeft w:val="0"/>
          <w:marRight w:val="0"/>
          <w:marTop w:val="0"/>
          <w:marBottom w:val="0"/>
          <w:divBdr>
            <w:top w:val="none" w:sz="0" w:space="0" w:color="auto"/>
            <w:left w:val="none" w:sz="0" w:space="0" w:color="auto"/>
            <w:bottom w:val="none" w:sz="0" w:space="0" w:color="auto"/>
            <w:right w:val="none" w:sz="0" w:space="0" w:color="auto"/>
          </w:divBdr>
          <w:divsChild>
            <w:div w:id="886259525">
              <w:marLeft w:val="0"/>
              <w:marRight w:val="0"/>
              <w:marTop w:val="0"/>
              <w:marBottom w:val="0"/>
              <w:divBdr>
                <w:top w:val="none" w:sz="0" w:space="0" w:color="auto"/>
                <w:left w:val="none" w:sz="0" w:space="0" w:color="auto"/>
                <w:bottom w:val="none" w:sz="0" w:space="0" w:color="auto"/>
                <w:right w:val="none" w:sz="0" w:space="0" w:color="auto"/>
              </w:divBdr>
              <w:divsChild>
                <w:div w:id="387998118">
                  <w:marLeft w:val="0"/>
                  <w:marRight w:val="0"/>
                  <w:marTop w:val="0"/>
                  <w:marBottom w:val="0"/>
                  <w:divBdr>
                    <w:top w:val="none" w:sz="0" w:space="0" w:color="auto"/>
                    <w:left w:val="none" w:sz="0" w:space="0" w:color="auto"/>
                    <w:bottom w:val="none" w:sz="0" w:space="0" w:color="auto"/>
                    <w:right w:val="none" w:sz="0" w:space="0" w:color="auto"/>
                  </w:divBdr>
                  <w:divsChild>
                    <w:div w:id="8249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68255">
      <w:bodyDiv w:val="1"/>
      <w:marLeft w:val="0"/>
      <w:marRight w:val="0"/>
      <w:marTop w:val="0"/>
      <w:marBottom w:val="0"/>
      <w:divBdr>
        <w:top w:val="none" w:sz="0" w:space="0" w:color="auto"/>
        <w:left w:val="none" w:sz="0" w:space="0" w:color="auto"/>
        <w:bottom w:val="none" w:sz="0" w:space="0" w:color="auto"/>
        <w:right w:val="none" w:sz="0" w:space="0" w:color="auto"/>
      </w:divBdr>
    </w:div>
    <w:div w:id="1988507033">
      <w:bodyDiv w:val="1"/>
      <w:marLeft w:val="0"/>
      <w:marRight w:val="0"/>
      <w:marTop w:val="0"/>
      <w:marBottom w:val="0"/>
      <w:divBdr>
        <w:top w:val="none" w:sz="0" w:space="0" w:color="auto"/>
        <w:left w:val="none" w:sz="0" w:space="0" w:color="auto"/>
        <w:bottom w:val="none" w:sz="0" w:space="0" w:color="auto"/>
        <w:right w:val="none" w:sz="0" w:space="0" w:color="auto"/>
      </w:divBdr>
    </w:div>
    <w:div w:id="2027055838">
      <w:bodyDiv w:val="1"/>
      <w:marLeft w:val="0"/>
      <w:marRight w:val="0"/>
      <w:marTop w:val="0"/>
      <w:marBottom w:val="0"/>
      <w:divBdr>
        <w:top w:val="none" w:sz="0" w:space="0" w:color="auto"/>
        <w:left w:val="none" w:sz="0" w:space="0" w:color="auto"/>
        <w:bottom w:val="none" w:sz="0" w:space="0" w:color="auto"/>
        <w:right w:val="none" w:sz="0" w:space="0" w:color="auto"/>
      </w:divBdr>
      <w:divsChild>
        <w:div w:id="340008258">
          <w:marLeft w:val="0"/>
          <w:marRight w:val="0"/>
          <w:marTop w:val="0"/>
          <w:marBottom w:val="0"/>
          <w:divBdr>
            <w:top w:val="none" w:sz="0" w:space="0" w:color="auto"/>
            <w:left w:val="none" w:sz="0" w:space="0" w:color="auto"/>
            <w:bottom w:val="none" w:sz="0" w:space="0" w:color="auto"/>
            <w:right w:val="none" w:sz="0" w:space="0" w:color="auto"/>
          </w:divBdr>
          <w:divsChild>
            <w:div w:id="1463157910">
              <w:marLeft w:val="0"/>
              <w:marRight w:val="0"/>
              <w:marTop w:val="0"/>
              <w:marBottom w:val="0"/>
              <w:divBdr>
                <w:top w:val="none" w:sz="0" w:space="0" w:color="auto"/>
                <w:left w:val="none" w:sz="0" w:space="0" w:color="auto"/>
                <w:bottom w:val="none" w:sz="0" w:space="0" w:color="auto"/>
                <w:right w:val="none" w:sz="0" w:space="0" w:color="auto"/>
              </w:divBdr>
              <w:divsChild>
                <w:div w:id="1461145414">
                  <w:marLeft w:val="0"/>
                  <w:marRight w:val="0"/>
                  <w:marTop w:val="0"/>
                  <w:marBottom w:val="0"/>
                  <w:divBdr>
                    <w:top w:val="none" w:sz="0" w:space="0" w:color="auto"/>
                    <w:left w:val="none" w:sz="0" w:space="0" w:color="auto"/>
                    <w:bottom w:val="none" w:sz="0" w:space="0" w:color="auto"/>
                    <w:right w:val="none" w:sz="0" w:space="0" w:color="auto"/>
                  </w:divBdr>
                  <w:divsChild>
                    <w:div w:id="863254790">
                      <w:marLeft w:val="-225"/>
                      <w:marRight w:val="-225"/>
                      <w:marTop w:val="0"/>
                      <w:marBottom w:val="0"/>
                      <w:divBdr>
                        <w:top w:val="none" w:sz="0" w:space="0" w:color="auto"/>
                        <w:left w:val="none" w:sz="0" w:space="0" w:color="auto"/>
                        <w:bottom w:val="none" w:sz="0" w:space="0" w:color="auto"/>
                        <w:right w:val="none" w:sz="0" w:space="0" w:color="auto"/>
                      </w:divBdr>
                      <w:divsChild>
                        <w:div w:id="1748187194">
                          <w:marLeft w:val="0"/>
                          <w:marRight w:val="0"/>
                          <w:marTop w:val="0"/>
                          <w:marBottom w:val="0"/>
                          <w:divBdr>
                            <w:top w:val="none" w:sz="0" w:space="0" w:color="auto"/>
                            <w:left w:val="none" w:sz="0" w:space="0" w:color="auto"/>
                            <w:bottom w:val="none" w:sz="0" w:space="0" w:color="auto"/>
                            <w:right w:val="none" w:sz="0" w:space="0" w:color="auto"/>
                          </w:divBdr>
                          <w:divsChild>
                            <w:div w:id="1211187390">
                              <w:marLeft w:val="0"/>
                              <w:marRight w:val="0"/>
                              <w:marTop w:val="0"/>
                              <w:marBottom w:val="0"/>
                              <w:divBdr>
                                <w:top w:val="none" w:sz="0" w:space="0" w:color="auto"/>
                                <w:left w:val="none" w:sz="0" w:space="0" w:color="auto"/>
                                <w:bottom w:val="none" w:sz="0" w:space="0" w:color="auto"/>
                                <w:right w:val="none" w:sz="0" w:space="0" w:color="auto"/>
                              </w:divBdr>
                            </w:div>
                            <w:div w:id="15534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424">
                      <w:marLeft w:val="0"/>
                      <w:marRight w:val="0"/>
                      <w:marTop w:val="0"/>
                      <w:marBottom w:val="0"/>
                      <w:divBdr>
                        <w:top w:val="none" w:sz="0" w:space="0" w:color="auto"/>
                        <w:left w:val="none" w:sz="0" w:space="0" w:color="auto"/>
                        <w:bottom w:val="none" w:sz="0" w:space="0" w:color="auto"/>
                        <w:right w:val="none" w:sz="0" w:space="0" w:color="auto"/>
                      </w:divBdr>
                      <w:divsChild>
                        <w:div w:id="754014161">
                          <w:marLeft w:val="0"/>
                          <w:marRight w:val="0"/>
                          <w:marTop w:val="0"/>
                          <w:marBottom w:val="0"/>
                          <w:divBdr>
                            <w:top w:val="none" w:sz="0" w:space="0" w:color="auto"/>
                            <w:left w:val="none" w:sz="0" w:space="0" w:color="auto"/>
                            <w:bottom w:val="none" w:sz="0" w:space="0" w:color="auto"/>
                            <w:right w:val="none" w:sz="0" w:space="0" w:color="auto"/>
                          </w:divBdr>
                          <w:divsChild>
                            <w:div w:id="11217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5553">
              <w:marLeft w:val="0"/>
              <w:marRight w:val="0"/>
              <w:marTop w:val="0"/>
              <w:marBottom w:val="0"/>
              <w:divBdr>
                <w:top w:val="none" w:sz="0" w:space="0" w:color="auto"/>
                <w:left w:val="none" w:sz="0" w:space="0" w:color="auto"/>
                <w:bottom w:val="none" w:sz="0" w:space="0" w:color="auto"/>
                <w:right w:val="none" w:sz="0" w:space="0" w:color="auto"/>
              </w:divBdr>
            </w:div>
            <w:div w:id="924150159">
              <w:marLeft w:val="0"/>
              <w:marRight w:val="0"/>
              <w:marTop w:val="0"/>
              <w:marBottom w:val="0"/>
              <w:divBdr>
                <w:top w:val="none" w:sz="0" w:space="0" w:color="auto"/>
                <w:left w:val="none" w:sz="0" w:space="0" w:color="auto"/>
                <w:bottom w:val="none" w:sz="0" w:space="0" w:color="auto"/>
                <w:right w:val="none" w:sz="0" w:space="0" w:color="auto"/>
              </w:divBdr>
              <w:divsChild>
                <w:div w:id="182979763">
                  <w:marLeft w:val="0"/>
                  <w:marRight w:val="0"/>
                  <w:marTop w:val="0"/>
                  <w:marBottom w:val="0"/>
                  <w:divBdr>
                    <w:top w:val="none" w:sz="0" w:space="0" w:color="auto"/>
                    <w:left w:val="single" w:sz="6" w:space="0" w:color="DEE2E6"/>
                    <w:bottom w:val="single" w:sz="6" w:space="0" w:color="DEE2E6"/>
                    <w:right w:val="single" w:sz="6" w:space="0" w:color="DEE2E6"/>
                  </w:divBdr>
                </w:div>
              </w:divsChild>
            </w:div>
            <w:div w:id="11487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9F65-9C9E-1D45-B1FA-DB1CE98A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15</Pages>
  <Words>4347</Words>
  <Characters>24780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D’Arrigo</dc:creator>
  <cp:keywords/>
  <dc:description/>
  <cp:lastModifiedBy>Cosimo D’Arrigo</cp:lastModifiedBy>
  <cp:revision>39</cp:revision>
  <dcterms:created xsi:type="dcterms:W3CDTF">2022-10-15T15:34:00Z</dcterms:created>
  <dcterms:modified xsi:type="dcterms:W3CDTF">2023-09-09T12:02:00Z</dcterms:modified>
</cp:coreProperties>
</file>